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070B1" w14:textId="145938F7" w:rsidR="00F27861" w:rsidRPr="004302D2" w:rsidRDefault="00F27861" w:rsidP="00FB7ABF">
      <w:pPr>
        <w:rPr>
          <w:rFonts w:ascii="Arial" w:hAnsi="Arial" w:cs="Arial"/>
          <w:b/>
          <w:i/>
          <w:sz w:val="80"/>
          <w:szCs w:val="80"/>
        </w:rPr>
      </w:pPr>
      <w:bookmarkStart w:id="0" w:name="_GoBack"/>
      <w:bookmarkEnd w:id="0"/>
      <w:r w:rsidRPr="004302D2">
        <w:rPr>
          <w:rFonts w:ascii="Arial" w:hAnsi="Arial" w:cs="Arial"/>
          <w:b/>
          <w:i/>
          <w:sz w:val="80"/>
          <w:szCs w:val="80"/>
        </w:rPr>
        <w:t>ONLINE APPENDIX</w:t>
      </w:r>
      <w:r w:rsidR="00FB7ABF">
        <w:rPr>
          <w:rFonts w:ascii="Arial" w:hAnsi="Arial" w:cs="Arial"/>
          <w:b/>
          <w:i/>
          <w:sz w:val="80"/>
          <w:szCs w:val="80"/>
        </w:rPr>
        <w:t xml:space="preserve"> to </w:t>
      </w:r>
      <w:r w:rsidR="00FB7ABF">
        <w:rPr>
          <w:rFonts w:ascii="Arial" w:hAnsi="Arial" w:cs="Arial"/>
          <w:sz w:val="25"/>
          <w:szCs w:val="25"/>
        </w:rPr>
        <w:t>Somashekhar, Mahesh. 2018. “Has the Suburbanization of Ethnic Economies Created New Opportunities for Income Attainment?” Social Science Quarterly 99(1):62-79.</w:t>
      </w:r>
      <w:r w:rsidRPr="004302D2">
        <w:rPr>
          <w:rFonts w:ascii="Arial" w:hAnsi="Arial" w:cs="Arial"/>
          <w:b/>
          <w:i/>
          <w:sz w:val="80"/>
          <w:szCs w:val="80"/>
        </w:rPr>
        <w:br w:type="page"/>
      </w:r>
    </w:p>
    <w:p w14:paraId="7BAFE281" w14:textId="77777777" w:rsidR="00F27861" w:rsidRDefault="00F27861" w:rsidP="00F27861">
      <w:pPr>
        <w:spacing w:line="480" w:lineRule="auto"/>
        <w:rPr>
          <w:rFonts w:ascii="Arial" w:hAnsi="Arial" w:cs="Arial"/>
          <w:sz w:val="20"/>
          <w:szCs w:val="20"/>
        </w:rPr>
      </w:pPr>
      <w:r>
        <w:rPr>
          <w:rFonts w:ascii="Arial" w:hAnsi="Arial" w:cs="Arial"/>
          <w:b/>
          <w:i/>
          <w:sz w:val="20"/>
          <w:szCs w:val="20"/>
        </w:rPr>
        <w:lastRenderedPageBreak/>
        <w:t>Appendix A1. Operationalizing Suburban Areas</w:t>
      </w:r>
    </w:p>
    <w:p w14:paraId="25917583" w14:textId="77777777" w:rsidR="00F27861" w:rsidRPr="00B03EF8" w:rsidRDefault="00F27861" w:rsidP="00F27861">
      <w:pPr>
        <w:spacing w:after="0" w:line="480" w:lineRule="auto"/>
        <w:rPr>
          <w:rFonts w:ascii="Arial" w:hAnsi="Arial" w:cs="Arial"/>
          <w:sz w:val="20"/>
          <w:szCs w:val="20"/>
        </w:rPr>
      </w:pPr>
      <w:r w:rsidRPr="00B03EF8">
        <w:rPr>
          <w:rFonts w:ascii="Arial" w:hAnsi="Arial" w:cs="Arial"/>
          <w:sz w:val="20"/>
          <w:szCs w:val="20"/>
        </w:rPr>
        <w:tab/>
        <w:t>The distinction between urban and suburban areas is traditionally made by treating central cities in metropolitan statistical areas (MSAs) as urban.  Suburbs are the portion of each MSA that excludes central cities (Alba et al.</w:t>
      </w:r>
      <w:r>
        <w:rPr>
          <w:rFonts w:ascii="Arial" w:hAnsi="Arial" w:cs="Arial"/>
          <w:sz w:val="20"/>
          <w:szCs w:val="20"/>
        </w:rPr>
        <w:t>,</w:t>
      </w:r>
      <w:r w:rsidRPr="00B03EF8">
        <w:rPr>
          <w:rFonts w:ascii="Arial" w:hAnsi="Arial" w:cs="Arial"/>
          <w:sz w:val="20"/>
          <w:szCs w:val="20"/>
        </w:rPr>
        <w:t xml:space="preserve"> 1999).  The smallest geographical unit available from the Census Bureau is the Public Use Microdata Area (PUMA), an arbitrarily bounded geographical unit that ranges from 100,000 to 200,000 residents.  The geographical building block of my analysis is the Place of Work PUMA (PWPUMA), not the PUMA.  PWPUMAs are frequently equivalent to PUMAs, but the Census Bureau sometimes aggregates PUMAs within PWPUMAs in order to maintain the confidentiality of respondents.</w:t>
      </w:r>
    </w:p>
    <w:p w14:paraId="5855E5CD" w14:textId="77777777" w:rsidR="00F27861" w:rsidRDefault="00F27861" w:rsidP="00F27861">
      <w:pPr>
        <w:spacing w:after="0" w:line="480" w:lineRule="auto"/>
        <w:ind w:firstLine="720"/>
        <w:rPr>
          <w:rFonts w:ascii="Arial" w:hAnsi="Arial" w:cs="Arial"/>
          <w:sz w:val="20"/>
          <w:szCs w:val="20"/>
        </w:rPr>
      </w:pPr>
      <w:r w:rsidRPr="00B03EF8">
        <w:rPr>
          <w:rFonts w:ascii="Arial" w:hAnsi="Arial" w:cs="Arial"/>
          <w:sz w:val="20"/>
          <w:szCs w:val="20"/>
        </w:rPr>
        <w:t>PWPUMAs, like PUMAs, occasionally cross the city-suburb divide.  Throwing out PWPUMAs sharing urban and suburban territory would result in a steep loss of ethnic economies available for analysis.  Social scientists sometimes relax PUMA boundary conditions such that if some of a metropolitan PUMA’s residents live in a central city, then the PUMA is considered urban.  The inverse yields a suburban PUMA.  Since the population minimum in published research using this approach ranges from 50 percent (Holzer and Stoll</w:t>
      </w:r>
      <w:r>
        <w:rPr>
          <w:rFonts w:ascii="Arial" w:hAnsi="Arial" w:cs="Arial"/>
          <w:sz w:val="20"/>
          <w:szCs w:val="20"/>
        </w:rPr>
        <w:t>,</w:t>
      </w:r>
      <w:r w:rsidRPr="00B03EF8">
        <w:rPr>
          <w:rFonts w:ascii="Arial" w:hAnsi="Arial" w:cs="Arial"/>
          <w:sz w:val="20"/>
          <w:szCs w:val="20"/>
        </w:rPr>
        <w:t xml:space="preserve"> 2007:2-3) to 95 percent (Alba et al.</w:t>
      </w:r>
      <w:r>
        <w:rPr>
          <w:rFonts w:ascii="Arial" w:hAnsi="Arial" w:cs="Arial"/>
          <w:sz w:val="20"/>
          <w:szCs w:val="20"/>
        </w:rPr>
        <w:t>,</w:t>
      </w:r>
      <w:r w:rsidRPr="00B03EF8">
        <w:rPr>
          <w:rFonts w:ascii="Arial" w:hAnsi="Arial" w:cs="Arial"/>
          <w:sz w:val="20"/>
          <w:szCs w:val="20"/>
        </w:rPr>
        <w:t xml:space="preserve"> 1999:ftnote 3), I use a rough midpoint of 75 percent.  If 75 percent or more of a PWPUMA’s residents live in a central city, then the PWPUMA is considered urban.  If 75 percent or more of a PWPUMA’s residents live outside a central city but within the MSA, then the P</w:t>
      </w:r>
      <w:r>
        <w:rPr>
          <w:rFonts w:ascii="Arial" w:hAnsi="Arial" w:cs="Arial"/>
          <w:sz w:val="20"/>
          <w:szCs w:val="20"/>
        </w:rPr>
        <w:t>WPUMA is considered suburban.</w:t>
      </w:r>
    </w:p>
    <w:p w14:paraId="725DC0B0" w14:textId="77777777" w:rsidR="00F27861" w:rsidRPr="00B03EF8" w:rsidRDefault="00F27861" w:rsidP="00F27861">
      <w:pPr>
        <w:spacing w:after="0" w:line="480" w:lineRule="auto"/>
        <w:ind w:firstLine="720"/>
        <w:rPr>
          <w:rFonts w:ascii="Arial" w:hAnsi="Arial" w:cs="Arial"/>
          <w:sz w:val="20"/>
          <w:szCs w:val="20"/>
        </w:rPr>
      </w:pPr>
      <w:r>
        <w:rPr>
          <w:rFonts w:ascii="Arial" w:hAnsi="Arial" w:cs="Arial"/>
          <w:sz w:val="20"/>
          <w:szCs w:val="20"/>
        </w:rPr>
        <w:t>It should be noted that, although the PWPUMA is the geographical building block of my analysis, I aggregate PWPUMAs into urban and suburban portions of each MSA.  By aggregating the data into larger spatial units, I minimize any sampling bias that may occur in the data.  This is particularly important for 2010 ACS data, which come from a smaller sample than the 1990 and 2000 Decennial Censuses (Census Bureau, 2011).</w:t>
      </w:r>
    </w:p>
    <w:p w14:paraId="11B60A44" w14:textId="77777777" w:rsidR="00F27861" w:rsidRDefault="00F27861" w:rsidP="00F27861">
      <w:pPr>
        <w:rPr>
          <w:rFonts w:ascii="Arial" w:hAnsi="Arial" w:cs="Arial"/>
          <w:sz w:val="20"/>
          <w:szCs w:val="20"/>
        </w:rPr>
      </w:pPr>
      <w:r>
        <w:rPr>
          <w:rFonts w:ascii="Arial" w:hAnsi="Arial" w:cs="Arial"/>
          <w:sz w:val="20"/>
          <w:szCs w:val="20"/>
        </w:rPr>
        <w:br w:type="page"/>
      </w:r>
    </w:p>
    <w:p w14:paraId="0FB47C97" w14:textId="77777777" w:rsidR="00F27861" w:rsidRPr="00EA45EE" w:rsidRDefault="00F27861" w:rsidP="00F27861">
      <w:pPr>
        <w:spacing w:after="0" w:line="480" w:lineRule="auto"/>
        <w:rPr>
          <w:rFonts w:ascii="Arial" w:hAnsi="Arial" w:cs="Arial"/>
          <w:sz w:val="20"/>
          <w:szCs w:val="20"/>
        </w:rPr>
      </w:pPr>
      <w:r>
        <w:rPr>
          <w:rFonts w:ascii="Arial" w:hAnsi="Arial" w:cs="Arial"/>
          <w:b/>
          <w:i/>
          <w:sz w:val="20"/>
          <w:szCs w:val="20"/>
        </w:rPr>
        <w:lastRenderedPageBreak/>
        <w:t>Appendix A2.</w:t>
      </w:r>
      <w:r w:rsidRPr="00EA45EE">
        <w:rPr>
          <w:rFonts w:ascii="Arial" w:hAnsi="Arial" w:cs="Arial"/>
          <w:b/>
          <w:i/>
          <w:sz w:val="20"/>
          <w:szCs w:val="20"/>
        </w:rPr>
        <w:t xml:space="preserve"> Operationalizing Ethnic Economies</w:t>
      </w:r>
    </w:p>
    <w:p w14:paraId="1A1C74F0" w14:textId="77777777" w:rsidR="00F27861" w:rsidRPr="00B03EF8" w:rsidRDefault="00F27861" w:rsidP="00F27861">
      <w:pPr>
        <w:spacing w:after="0" w:line="480" w:lineRule="auto"/>
        <w:ind w:firstLine="720"/>
        <w:rPr>
          <w:rFonts w:ascii="Arial" w:hAnsi="Arial" w:cs="Arial"/>
          <w:sz w:val="20"/>
          <w:szCs w:val="20"/>
        </w:rPr>
      </w:pPr>
      <w:r w:rsidRPr="00B03EF8">
        <w:rPr>
          <w:rFonts w:ascii="Arial" w:hAnsi="Arial" w:cs="Arial"/>
          <w:sz w:val="20"/>
          <w:szCs w:val="20"/>
        </w:rPr>
        <w:t xml:space="preserve">The odds ratio </w:t>
      </w:r>
      <w:r>
        <w:rPr>
          <w:rFonts w:ascii="Arial" w:hAnsi="Arial" w:cs="Arial"/>
          <w:sz w:val="20"/>
          <w:szCs w:val="20"/>
        </w:rPr>
        <w:t xml:space="preserve">mentioned in the text </w:t>
      </w:r>
      <w:r w:rsidRPr="00B03EF8">
        <w:rPr>
          <w:rFonts w:ascii="Arial" w:hAnsi="Arial" w:cs="Arial"/>
          <w:sz w:val="20"/>
          <w:szCs w:val="20"/>
        </w:rPr>
        <w:t>is given by:</w:t>
      </w:r>
    </w:p>
    <w:p w14:paraId="50BEEAFC" w14:textId="77777777" w:rsidR="00F27861" w:rsidRPr="00B03EF8" w:rsidRDefault="00FB7ABF" w:rsidP="00F27861">
      <w:pPr>
        <w:spacing w:after="0" w:line="480" w:lineRule="auto"/>
        <w:rPr>
          <w:rFonts w:ascii="Arial" w:hAnsi="Arial" w:cs="Arial"/>
          <w:sz w:val="20"/>
          <w:szCs w:val="20"/>
        </w:rPr>
      </w:pPr>
      <m:oMathPara>
        <m:oMath>
          <m:sSub>
            <m:sSubPr>
              <m:ctrlPr>
                <w:rPr>
                  <w:rFonts w:ascii="Cambria Math" w:hAnsi="Arial" w:cs="Arial"/>
                  <w:i/>
                  <w:sz w:val="20"/>
                  <w:szCs w:val="20"/>
                </w:rPr>
              </m:ctrlPr>
            </m:sSubPr>
            <m:e>
              <m:r>
                <w:rPr>
                  <w:rFonts w:ascii="Cambria Math" w:hAnsi="Cambria Math" w:cs="Arial"/>
                  <w:sz w:val="20"/>
                  <w:szCs w:val="20"/>
                </w:rPr>
                <m:t>Odds</m:t>
              </m:r>
              <m:r>
                <w:rPr>
                  <w:rFonts w:ascii="Cambria Math" w:hAnsi="Arial" w:cs="Arial"/>
                  <w:sz w:val="20"/>
                  <w:szCs w:val="20"/>
                </w:rPr>
                <m:t xml:space="preserve"> </m:t>
              </m:r>
              <m:r>
                <w:rPr>
                  <w:rFonts w:ascii="Cambria Math" w:hAnsi="Cambria Math" w:cs="Arial"/>
                  <w:sz w:val="20"/>
                  <w:szCs w:val="20"/>
                </w:rPr>
                <m:t>Ratio</m:t>
              </m:r>
            </m:e>
            <m:sub>
              <m:r>
                <w:rPr>
                  <w:rFonts w:ascii="Cambria Math" w:hAnsi="Cambria Math" w:cs="Arial"/>
                  <w:sz w:val="20"/>
                  <w:szCs w:val="20"/>
                </w:rPr>
                <m:t>ijk</m:t>
              </m:r>
            </m:sub>
          </m:sSub>
          <m:r>
            <w:rPr>
              <w:rFonts w:ascii="Cambria Math" w:hAnsi="Arial" w:cs="Arial"/>
              <w:sz w:val="20"/>
              <w:szCs w:val="20"/>
            </w:rPr>
            <m:t>=</m:t>
          </m:r>
          <m:f>
            <m:fPr>
              <m:ctrlPr>
                <w:rPr>
                  <w:rFonts w:ascii="Cambria Math" w:hAnsi="Arial" w:cs="Arial"/>
                  <w:i/>
                  <w:sz w:val="20"/>
                  <w:szCs w:val="20"/>
                </w:rPr>
              </m:ctrlPr>
            </m:fPr>
            <m:num>
              <m:d>
                <m:dPr>
                  <m:ctrlPr>
                    <w:rPr>
                      <w:rFonts w:ascii="Cambria Math" w:hAnsi="Arial" w:cs="Arial"/>
                      <w:i/>
                      <w:sz w:val="20"/>
                      <w:szCs w:val="20"/>
                    </w:rPr>
                  </m:ctrlPr>
                </m:dPr>
                <m:e>
                  <m:f>
                    <m:fPr>
                      <m:ctrlPr>
                        <w:rPr>
                          <w:rFonts w:ascii="Cambria Math" w:hAnsi="Arial" w:cs="Arial"/>
                          <w:i/>
                          <w:sz w:val="20"/>
                          <w:szCs w:val="20"/>
                        </w:rPr>
                      </m:ctrlPr>
                    </m:fPr>
                    <m:num>
                      <m:sSub>
                        <m:sSubPr>
                          <m:ctrlPr>
                            <w:rPr>
                              <w:rFonts w:ascii="Cambria Math" w:hAnsi="Arial" w:cs="Arial"/>
                              <w:i/>
                              <w:sz w:val="20"/>
                              <w:szCs w:val="20"/>
                            </w:rPr>
                          </m:ctrlPr>
                        </m:sSubPr>
                        <m:e>
                          <m:r>
                            <w:rPr>
                              <w:rFonts w:ascii="Cambria Math" w:hAnsi="Cambria Math" w:cs="Arial"/>
                              <w:sz w:val="20"/>
                              <w:szCs w:val="20"/>
                            </w:rPr>
                            <m:t>W</m:t>
                          </m:r>
                        </m:e>
                        <m:sub>
                          <m:r>
                            <w:rPr>
                              <w:rFonts w:ascii="Cambria Math" w:hAnsi="Cambria Math" w:cs="Arial"/>
                              <w:sz w:val="20"/>
                              <w:szCs w:val="20"/>
                            </w:rPr>
                            <m:t>ijk</m:t>
                          </m:r>
                        </m:sub>
                      </m:sSub>
                    </m:num>
                    <m:den>
                      <m:sSub>
                        <m:sSubPr>
                          <m:ctrlPr>
                            <w:rPr>
                              <w:rFonts w:ascii="Cambria Math" w:hAnsi="Arial" w:cs="Arial"/>
                              <w:i/>
                              <w:sz w:val="20"/>
                              <w:szCs w:val="20"/>
                            </w:rPr>
                          </m:ctrlPr>
                        </m:sSubPr>
                        <m:e>
                          <m:r>
                            <w:rPr>
                              <w:rFonts w:ascii="Cambria Math" w:hAnsi="Cambria Math" w:cs="Arial"/>
                              <w:sz w:val="20"/>
                              <w:szCs w:val="20"/>
                            </w:rPr>
                            <m:t>W</m:t>
                          </m:r>
                        </m:e>
                        <m:sub>
                          <m:r>
                            <w:rPr>
                              <w:rFonts w:ascii="Cambria Math" w:hAnsi="Cambria Math" w:cs="Arial"/>
                              <w:sz w:val="20"/>
                              <w:szCs w:val="20"/>
                            </w:rPr>
                            <m:t>i</m:t>
                          </m:r>
                          <m:d>
                            <m:dPr>
                              <m:ctrlPr>
                                <w:rPr>
                                  <w:rFonts w:ascii="Cambria Math" w:hAnsi="Arial" w:cs="Arial"/>
                                  <w:i/>
                                  <w:sz w:val="20"/>
                                  <w:szCs w:val="20"/>
                                </w:rPr>
                              </m:ctrlPr>
                            </m:dPr>
                            <m:e>
                              <m:r>
                                <w:rPr>
                                  <w:rFonts w:ascii="Cambria Math" w:hAnsi="Arial" w:cs="Arial"/>
                                  <w:sz w:val="20"/>
                                  <w:szCs w:val="20"/>
                                </w:rPr>
                                <m:t>~</m:t>
                              </m:r>
                              <m:r>
                                <w:rPr>
                                  <w:rFonts w:ascii="Cambria Math" w:hAnsi="Cambria Math" w:cs="Arial"/>
                                  <w:sz w:val="20"/>
                                  <w:szCs w:val="20"/>
                                </w:rPr>
                                <m:t>j</m:t>
                              </m:r>
                            </m:e>
                          </m:d>
                          <m:r>
                            <w:rPr>
                              <w:rFonts w:ascii="Cambria Math" w:hAnsi="Cambria Math" w:cs="Arial"/>
                              <w:sz w:val="20"/>
                              <w:szCs w:val="20"/>
                            </w:rPr>
                            <m:t>k</m:t>
                          </m:r>
                        </m:sub>
                      </m:sSub>
                    </m:den>
                  </m:f>
                </m:e>
              </m:d>
            </m:num>
            <m:den>
              <m:d>
                <m:dPr>
                  <m:ctrlPr>
                    <w:rPr>
                      <w:rFonts w:ascii="Cambria Math" w:hAnsi="Arial" w:cs="Arial"/>
                      <w:i/>
                      <w:sz w:val="20"/>
                      <w:szCs w:val="20"/>
                    </w:rPr>
                  </m:ctrlPr>
                </m:dPr>
                <m:e>
                  <m:f>
                    <m:fPr>
                      <m:ctrlPr>
                        <w:rPr>
                          <w:rFonts w:ascii="Cambria Math" w:hAnsi="Arial" w:cs="Arial"/>
                          <w:i/>
                          <w:sz w:val="20"/>
                          <w:szCs w:val="20"/>
                        </w:rPr>
                      </m:ctrlPr>
                    </m:fPr>
                    <m:num>
                      <m:sSub>
                        <m:sSubPr>
                          <m:ctrlPr>
                            <w:rPr>
                              <w:rFonts w:ascii="Cambria Math" w:hAnsi="Arial" w:cs="Arial"/>
                              <w:i/>
                              <w:sz w:val="20"/>
                              <w:szCs w:val="20"/>
                            </w:rPr>
                          </m:ctrlPr>
                        </m:sSubPr>
                        <m:e>
                          <m:r>
                            <w:rPr>
                              <w:rFonts w:ascii="Cambria Math" w:hAnsi="Cambria Math" w:cs="Arial"/>
                              <w:sz w:val="20"/>
                              <w:szCs w:val="20"/>
                            </w:rPr>
                            <m:t>G</m:t>
                          </m:r>
                        </m:e>
                        <m:sub>
                          <m:r>
                            <w:rPr>
                              <w:rFonts w:ascii="Cambria Math" w:hAnsi="Cambria Math" w:cs="Arial"/>
                              <w:sz w:val="20"/>
                              <w:szCs w:val="20"/>
                            </w:rPr>
                            <m:t>ijk</m:t>
                          </m:r>
                        </m:sub>
                      </m:sSub>
                    </m:num>
                    <m:den>
                      <m:sSub>
                        <m:sSubPr>
                          <m:ctrlPr>
                            <w:rPr>
                              <w:rFonts w:ascii="Cambria Math" w:hAnsi="Arial" w:cs="Arial"/>
                              <w:i/>
                              <w:sz w:val="20"/>
                              <w:szCs w:val="20"/>
                            </w:rPr>
                          </m:ctrlPr>
                        </m:sSubPr>
                        <m:e>
                          <m:r>
                            <w:rPr>
                              <w:rFonts w:ascii="Cambria Math" w:hAnsi="Cambria Math" w:cs="Arial"/>
                              <w:sz w:val="20"/>
                              <w:szCs w:val="20"/>
                            </w:rPr>
                            <m:t>G</m:t>
                          </m:r>
                        </m:e>
                        <m:sub>
                          <m:r>
                            <w:rPr>
                              <w:rFonts w:ascii="Cambria Math" w:hAnsi="Cambria Math" w:cs="Arial"/>
                              <w:sz w:val="20"/>
                              <w:szCs w:val="20"/>
                            </w:rPr>
                            <m:t>i</m:t>
                          </m:r>
                          <m:r>
                            <w:rPr>
                              <w:rFonts w:ascii="Cambria Math" w:hAnsi="Arial" w:cs="Arial"/>
                              <w:sz w:val="20"/>
                              <w:szCs w:val="20"/>
                            </w:rPr>
                            <m:t>(~</m:t>
                          </m:r>
                          <m:r>
                            <w:rPr>
                              <w:rFonts w:ascii="Cambria Math" w:hAnsi="Cambria Math" w:cs="Arial"/>
                              <w:sz w:val="20"/>
                              <w:szCs w:val="20"/>
                            </w:rPr>
                            <m:t>j</m:t>
                          </m:r>
                          <m:r>
                            <w:rPr>
                              <w:rFonts w:ascii="Cambria Math" w:hAnsi="Arial" w:cs="Arial"/>
                              <w:sz w:val="20"/>
                              <w:szCs w:val="20"/>
                            </w:rPr>
                            <m:t>)</m:t>
                          </m:r>
                          <m:r>
                            <w:rPr>
                              <w:rFonts w:ascii="Cambria Math" w:hAnsi="Cambria Math" w:cs="Arial"/>
                              <w:sz w:val="20"/>
                              <w:szCs w:val="20"/>
                            </w:rPr>
                            <m:t>k</m:t>
                          </m:r>
                        </m:sub>
                      </m:sSub>
                    </m:den>
                  </m:f>
                </m:e>
              </m:d>
            </m:den>
          </m:f>
        </m:oMath>
      </m:oMathPara>
    </w:p>
    <w:p w14:paraId="4749B08B" w14:textId="77777777" w:rsidR="00F27861" w:rsidRPr="00B03EF8" w:rsidRDefault="00F27861" w:rsidP="00F27861">
      <w:pPr>
        <w:spacing w:after="0" w:line="480" w:lineRule="auto"/>
        <w:rPr>
          <w:rFonts w:ascii="Arial" w:hAnsi="Arial" w:cs="Arial"/>
          <w:sz w:val="20"/>
          <w:szCs w:val="20"/>
        </w:rPr>
      </w:pPr>
      <w:r w:rsidRPr="00B03EF8">
        <w:rPr>
          <w:rFonts w:ascii="Arial" w:hAnsi="Arial" w:cs="Arial"/>
          <w:sz w:val="20"/>
          <w:szCs w:val="20"/>
        </w:rPr>
        <w:t xml:space="preserve">where, in each metro area </w:t>
      </w:r>
      <w:r w:rsidRPr="00B03EF8">
        <w:rPr>
          <w:rFonts w:ascii="Arial" w:hAnsi="Arial" w:cs="Arial"/>
          <w:i/>
          <w:sz w:val="20"/>
          <w:szCs w:val="20"/>
        </w:rPr>
        <w:t>k</w:t>
      </w:r>
      <w:r w:rsidRPr="00B03EF8">
        <w:rPr>
          <w:rFonts w:ascii="Arial" w:hAnsi="Arial" w:cs="Arial"/>
          <w:sz w:val="20"/>
          <w:szCs w:val="20"/>
        </w:rPr>
        <w:t xml:space="preserve">, the numerator represents the odds that workers </w:t>
      </w:r>
      <w:r w:rsidRPr="00B03EF8">
        <w:rPr>
          <w:rFonts w:ascii="Arial" w:hAnsi="Arial" w:cs="Arial"/>
          <w:i/>
          <w:sz w:val="20"/>
          <w:szCs w:val="20"/>
        </w:rPr>
        <w:t>W</w:t>
      </w:r>
      <w:r w:rsidRPr="00B03EF8">
        <w:rPr>
          <w:rFonts w:ascii="Arial" w:hAnsi="Arial" w:cs="Arial"/>
          <w:sz w:val="20"/>
          <w:szCs w:val="20"/>
        </w:rPr>
        <w:t xml:space="preserve"> from ethnic group </w:t>
      </w:r>
      <w:r w:rsidRPr="00B03EF8">
        <w:rPr>
          <w:rFonts w:ascii="Arial" w:hAnsi="Arial" w:cs="Arial"/>
          <w:i/>
          <w:sz w:val="20"/>
          <w:szCs w:val="20"/>
        </w:rPr>
        <w:t>i</w:t>
      </w:r>
      <w:r w:rsidRPr="00B03EF8">
        <w:rPr>
          <w:rFonts w:ascii="Arial" w:hAnsi="Arial" w:cs="Arial"/>
          <w:sz w:val="20"/>
          <w:szCs w:val="20"/>
        </w:rPr>
        <w:t xml:space="preserve"> work in industry </w:t>
      </w:r>
      <w:r w:rsidRPr="00B03EF8">
        <w:rPr>
          <w:rFonts w:ascii="Arial" w:hAnsi="Arial" w:cs="Arial"/>
          <w:i/>
          <w:sz w:val="20"/>
          <w:szCs w:val="20"/>
        </w:rPr>
        <w:t>j</w:t>
      </w:r>
      <w:r w:rsidRPr="00B03EF8">
        <w:rPr>
          <w:rFonts w:ascii="Arial" w:hAnsi="Arial" w:cs="Arial"/>
          <w:sz w:val="20"/>
          <w:szCs w:val="20"/>
        </w:rPr>
        <w:t xml:space="preserve">, and the denominator represents the odds that workers from all other groups </w:t>
      </w:r>
      <w:r w:rsidRPr="00B03EF8">
        <w:rPr>
          <w:rFonts w:ascii="Arial" w:hAnsi="Arial" w:cs="Arial"/>
          <w:i/>
          <w:sz w:val="20"/>
          <w:szCs w:val="20"/>
        </w:rPr>
        <w:t>G</w:t>
      </w:r>
      <w:r w:rsidRPr="00B03EF8">
        <w:rPr>
          <w:rFonts w:ascii="Arial" w:hAnsi="Arial" w:cs="Arial"/>
          <w:sz w:val="20"/>
          <w:szCs w:val="20"/>
        </w:rPr>
        <w:t xml:space="preserve"> work in the same industry </w:t>
      </w:r>
      <w:r w:rsidRPr="00B03EF8">
        <w:rPr>
          <w:rFonts w:ascii="Arial" w:hAnsi="Arial" w:cs="Arial"/>
          <w:i/>
          <w:sz w:val="20"/>
          <w:szCs w:val="20"/>
        </w:rPr>
        <w:t>j</w:t>
      </w:r>
      <w:r w:rsidRPr="00B03EF8">
        <w:rPr>
          <w:rFonts w:ascii="Arial" w:hAnsi="Arial" w:cs="Arial"/>
          <w:sz w:val="20"/>
          <w:szCs w:val="20"/>
        </w:rPr>
        <w:t xml:space="preserve">.  </w:t>
      </w:r>
      <w:r w:rsidRPr="00B03EF8">
        <w:rPr>
          <w:rFonts w:ascii="Arial" w:hAnsi="Arial" w:cs="Arial"/>
          <w:i/>
          <w:sz w:val="20"/>
          <w:szCs w:val="20"/>
        </w:rPr>
        <w:t>~j</w:t>
      </w:r>
      <w:r w:rsidRPr="00B03EF8">
        <w:rPr>
          <w:rFonts w:ascii="Arial" w:hAnsi="Arial" w:cs="Arial"/>
          <w:sz w:val="20"/>
          <w:szCs w:val="20"/>
        </w:rPr>
        <w:t xml:space="preserve"> denotes all industries except for industry </w:t>
      </w:r>
      <w:r w:rsidRPr="00B03EF8">
        <w:rPr>
          <w:rFonts w:ascii="Arial" w:hAnsi="Arial" w:cs="Arial"/>
          <w:i/>
          <w:sz w:val="20"/>
          <w:szCs w:val="20"/>
        </w:rPr>
        <w:t>j</w:t>
      </w:r>
      <w:r w:rsidRPr="00B03EF8">
        <w:rPr>
          <w:rFonts w:ascii="Arial" w:hAnsi="Arial" w:cs="Arial"/>
          <w:sz w:val="20"/>
          <w:szCs w:val="20"/>
        </w:rPr>
        <w:t xml:space="preserve">.  </w:t>
      </w:r>
      <w:r>
        <w:rPr>
          <w:rFonts w:ascii="Arial" w:hAnsi="Arial" w:cs="Arial"/>
          <w:sz w:val="20"/>
          <w:szCs w:val="20"/>
        </w:rPr>
        <w:t>As mentioned in the body of the paper, t</w:t>
      </w:r>
      <w:r w:rsidRPr="00B03EF8">
        <w:rPr>
          <w:rFonts w:ascii="Arial" w:hAnsi="Arial" w:cs="Arial"/>
          <w:sz w:val="20"/>
          <w:szCs w:val="20"/>
        </w:rPr>
        <w:t xml:space="preserve">he odds ratio is calculated separately for self-employed and wage workers.  If the odds ratio is greater than 1.5 for both self-employed and wage workers, then all workers </w:t>
      </w:r>
      <w:r w:rsidRPr="00B03EF8">
        <w:rPr>
          <w:rFonts w:ascii="Arial" w:hAnsi="Arial" w:cs="Arial"/>
          <w:i/>
          <w:sz w:val="20"/>
          <w:szCs w:val="20"/>
        </w:rPr>
        <w:t>W</w:t>
      </w:r>
      <w:r w:rsidRPr="00B03EF8">
        <w:rPr>
          <w:rFonts w:ascii="Arial" w:hAnsi="Arial" w:cs="Arial"/>
          <w:i/>
          <w:sz w:val="20"/>
          <w:szCs w:val="20"/>
          <w:vertAlign w:val="subscript"/>
        </w:rPr>
        <w:t>ijk</w:t>
      </w:r>
      <w:r w:rsidRPr="00B03EF8">
        <w:rPr>
          <w:rFonts w:ascii="Arial" w:hAnsi="Arial" w:cs="Arial"/>
          <w:sz w:val="20"/>
          <w:szCs w:val="20"/>
        </w:rPr>
        <w:t xml:space="preserve"> are treated as part of the ethnic economy.  For example, if </w:t>
      </w:r>
      <w:r w:rsidRPr="00B03EF8">
        <w:rPr>
          <w:rFonts w:ascii="Arial" w:hAnsi="Arial" w:cs="Arial"/>
          <w:i/>
          <w:sz w:val="20"/>
          <w:szCs w:val="20"/>
        </w:rPr>
        <w:t>W</w:t>
      </w:r>
      <w:r w:rsidRPr="00B03EF8">
        <w:rPr>
          <w:rFonts w:ascii="Arial" w:hAnsi="Arial" w:cs="Arial"/>
          <w:i/>
          <w:sz w:val="20"/>
          <w:szCs w:val="20"/>
          <w:vertAlign w:val="subscript"/>
        </w:rPr>
        <w:t>ijk</w:t>
      </w:r>
      <w:r w:rsidRPr="00B03EF8">
        <w:rPr>
          <w:rFonts w:ascii="Arial" w:hAnsi="Arial" w:cs="Arial"/>
          <w:sz w:val="20"/>
          <w:szCs w:val="20"/>
        </w:rPr>
        <w:t xml:space="preserve"> is the number of Korean workers in the Chicago MSA’s restaurant industry, then </w:t>
      </w:r>
      <w:r w:rsidRPr="00B03EF8">
        <w:rPr>
          <w:rFonts w:ascii="Arial" w:hAnsi="Arial" w:cs="Arial"/>
          <w:i/>
          <w:sz w:val="20"/>
          <w:szCs w:val="20"/>
        </w:rPr>
        <w:t>W</w:t>
      </w:r>
      <w:r w:rsidRPr="00B03EF8">
        <w:rPr>
          <w:rFonts w:ascii="Arial" w:hAnsi="Arial" w:cs="Arial"/>
          <w:i/>
          <w:sz w:val="20"/>
          <w:szCs w:val="20"/>
          <w:vertAlign w:val="subscript"/>
        </w:rPr>
        <w:t>i(~j)k</w:t>
      </w:r>
      <w:r w:rsidRPr="00B03EF8">
        <w:rPr>
          <w:rFonts w:ascii="Arial" w:hAnsi="Arial" w:cs="Arial"/>
          <w:sz w:val="20"/>
          <w:szCs w:val="20"/>
        </w:rPr>
        <w:t xml:space="preserve"> refers to all Korean workers in the Chicago MSA who do not work in the restaurant industry.  If </w:t>
      </w:r>
      <w:r w:rsidRPr="00B03EF8">
        <w:rPr>
          <w:rFonts w:ascii="Arial" w:hAnsi="Arial" w:cs="Arial"/>
          <w:i/>
          <w:sz w:val="20"/>
          <w:szCs w:val="20"/>
        </w:rPr>
        <w:t>G</w:t>
      </w:r>
      <w:r w:rsidRPr="00B03EF8">
        <w:rPr>
          <w:rFonts w:ascii="Arial" w:hAnsi="Arial" w:cs="Arial"/>
          <w:i/>
          <w:sz w:val="20"/>
          <w:szCs w:val="20"/>
          <w:vertAlign w:val="subscript"/>
        </w:rPr>
        <w:t>ijk</w:t>
      </w:r>
      <w:r w:rsidRPr="00B03EF8">
        <w:rPr>
          <w:rFonts w:ascii="Arial" w:hAnsi="Arial" w:cs="Arial"/>
          <w:sz w:val="20"/>
          <w:szCs w:val="20"/>
        </w:rPr>
        <w:t xml:space="preserve"> is the number of non-Korean workers in the Chicago MSA’s restaurant industry, then </w:t>
      </w:r>
      <w:r w:rsidRPr="00B03EF8">
        <w:rPr>
          <w:rFonts w:ascii="Arial" w:hAnsi="Arial" w:cs="Arial"/>
          <w:i/>
          <w:sz w:val="20"/>
          <w:szCs w:val="20"/>
        </w:rPr>
        <w:t>G</w:t>
      </w:r>
      <w:r w:rsidRPr="00B03EF8">
        <w:rPr>
          <w:rFonts w:ascii="Arial" w:hAnsi="Arial" w:cs="Arial"/>
          <w:i/>
          <w:sz w:val="20"/>
          <w:szCs w:val="20"/>
          <w:vertAlign w:val="subscript"/>
        </w:rPr>
        <w:t>i(~j)k</w:t>
      </w:r>
      <w:r w:rsidRPr="00B03EF8">
        <w:rPr>
          <w:rFonts w:ascii="Arial" w:hAnsi="Arial" w:cs="Arial"/>
          <w:sz w:val="20"/>
          <w:szCs w:val="20"/>
        </w:rPr>
        <w:t xml:space="preserve"> refers to all non-Korean workers in the Chicago MSA who do not work in the restaurant industry.   If the odds ratio is greater than 1.5 for both self-employed and wage workers, then all Korean workers in the Chicago MSA’s restaurant industry are treated as part of Ch</w:t>
      </w:r>
      <w:r>
        <w:rPr>
          <w:rFonts w:ascii="Arial" w:hAnsi="Arial" w:cs="Arial"/>
          <w:sz w:val="20"/>
          <w:szCs w:val="20"/>
        </w:rPr>
        <w:t>icago’s Korean ethnic economy.</w:t>
      </w:r>
    </w:p>
    <w:p w14:paraId="7106AD05" w14:textId="77777777" w:rsidR="00F27861" w:rsidRPr="00B03EF8" w:rsidRDefault="00F27861" w:rsidP="00F27861">
      <w:pPr>
        <w:spacing w:after="0" w:line="480" w:lineRule="auto"/>
        <w:ind w:firstLine="720"/>
        <w:rPr>
          <w:rFonts w:ascii="Arial" w:hAnsi="Arial" w:cs="Arial"/>
          <w:sz w:val="20"/>
          <w:szCs w:val="20"/>
        </w:rPr>
      </w:pPr>
      <w:r w:rsidRPr="00B03EF8">
        <w:rPr>
          <w:rFonts w:ascii="Arial" w:hAnsi="Arial" w:cs="Arial"/>
          <w:sz w:val="20"/>
          <w:szCs w:val="20"/>
        </w:rPr>
        <w:t>In addition to the odds ratio specification, I limit industries in the analysis to those that are non-professional, non-agricultural, non-mining, non-military, and non-governmental.  Governmental and military workers cannot be self-employed, farmers and miners are rarely found in the city or suburbs, and professional industry workers can rely on their high human capital rather than ethnic resources to start a business.   Although I exclude professional industries from the analysis, I still allow for workers in professional occupations in non-professional industries to be included in the analysis.  The final criterion I impose is a requirement such that, in order to be part of the ethnic economy in an MSA, the ethnic self-employed in a particular industry must make up at least one percent of all the self-employed in that industry in the MSA.  This ensures that very small groups are not mistaken to have a notable ethnic economy in an MSA.  Very few industries were affected by this cutoff, yet I use it for added rigor.</w:t>
      </w:r>
    </w:p>
    <w:p w14:paraId="28288191" w14:textId="77777777" w:rsidR="00F27861" w:rsidRDefault="00F27861" w:rsidP="00F27861">
      <w:pPr>
        <w:rPr>
          <w:rFonts w:ascii="Arial" w:hAnsi="Arial" w:cs="Arial"/>
          <w:b/>
          <w:i/>
          <w:sz w:val="20"/>
          <w:szCs w:val="20"/>
        </w:rPr>
      </w:pPr>
      <w:r>
        <w:rPr>
          <w:rFonts w:ascii="Arial" w:hAnsi="Arial" w:cs="Arial"/>
          <w:b/>
          <w:i/>
          <w:sz w:val="20"/>
          <w:szCs w:val="20"/>
        </w:rPr>
        <w:br w:type="page"/>
      </w:r>
    </w:p>
    <w:p w14:paraId="34FF6F1E" w14:textId="77777777" w:rsidR="00F27861" w:rsidRDefault="00F27861" w:rsidP="00F27861">
      <w:pPr>
        <w:spacing w:line="480" w:lineRule="auto"/>
        <w:rPr>
          <w:rFonts w:ascii="Arial" w:hAnsi="Arial" w:cs="Arial"/>
          <w:b/>
          <w:i/>
          <w:sz w:val="20"/>
          <w:szCs w:val="20"/>
        </w:rPr>
        <w:sectPr w:rsidR="00F27861" w:rsidSect="00865A3E">
          <w:pgSz w:w="12240" w:h="15840"/>
          <w:pgMar w:top="1440" w:right="1440" w:bottom="1440" w:left="1440" w:header="720" w:footer="720" w:gutter="0"/>
          <w:cols w:space="720"/>
          <w:docGrid w:linePitch="360"/>
        </w:sectPr>
      </w:pPr>
    </w:p>
    <w:p w14:paraId="4656AAC3" w14:textId="77777777" w:rsidR="00F27861" w:rsidRPr="00A45186" w:rsidRDefault="00F27861" w:rsidP="00F27861">
      <w:pPr>
        <w:spacing w:line="480" w:lineRule="auto"/>
        <w:rPr>
          <w:rFonts w:ascii="Arial" w:hAnsi="Arial" w:cs="Arial"/>
          <w:color w:val="000000"/>
          <w:sz w:val="20"/>
          <w:szCs w:val="20"/>
        </w:rPr>
      </w:pPr>
      <w:r w:rsidRPr="00A45186">
        <w:rPr>
          <w:rFonts w:ascii="Arial" w:hAnsi="Arial" w:cs="Arial"/>
          <w:b/>
          <w:i/>
          <w:sz w:val="20"/>
          <w:szCs w:val="20"/>
        </w:rPr>
        <w:lastRenderedPageBreak/>
        <w:t>Append</w:t>
      </w:r>
      <w:r>
        <w:rPr>
          <w:rFonts w:ascii="Arial" w:hAnsi="Arial" w:cs="Arial"/>
          <w:b/>
          <w:i/>
          <w:sz w:val="20"/>
          <w:szCs w:val="20"/>
        </w:rPr>
        <w:t xml:space="preserve">ix A3. </w:t>
      </w:r>
      <w:r w:rsidRPr="004E37AD">
        <w:rPr>
          <w:rFonts w:ascii="Arial" w:hAnsi="Arial" w:cs="Arial"/>
          <w:b/>
          <w:i/>
          <w:color w:val="000000"/>
          <w:sz w:val="20"/>
          <w:szCs w:val="20"/>
        </w:rPr>
        <w:t>Selected Ethnic Economy Workforce Characteristics</w:t>
      </w:r>
    </w:p>
    <w:p w14:paraId="05E1E504" w14:textId="77777777" w:rsidR="00F27861" w:rsidRPr="00BD76DA" w:rsidRDefault="00F27861" w:rsidP="00F27861">
      <w:pPr>
        <w:spacing w:after="0" w:line="480" w:lineRule="auto"/>
        <w:jc w:val="center"/>
        <w:rPr>
          <w:rFonts w:ascii="Times New Roman" w:hAnsi="Times New Roman" w:cs="Times New Roman"/>
          <w:sz w:val="24"/>
          <w:szCs w:val="24"/>
        </w:rPr>
      </w:pPr>
      <w:r w:rsidRPr="00AD350B">
        <w:rPr>
          <w:noProof/>
          <w:szCs w:val="24"/>
        </w:rPr>
        <w:drawing>
          <wp:inline distT="0" distB="0" distL="0" distR="0" wp14:anchorId="0BC39D99" wp14:editId="6A819E38">
            <wp:extent cx="8229600" cy="2338282"/>
            <wp:effectExtent l="19050" t="0" r="0"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8229600" cy="2338282"/>
                    </a:xfrm>
                    <a:prstGeom prst="rect">
                      <a:avLst/>
                    </a:prstGeom>
                    <a:noFill/>
                    <a:ln w="9525">
                      <a:noFill/>
                      <a:miter lim="800000"/>
                      <a:headEnd/>
                      <a:tailEnd/>
                    </a:ln>
                  </pic:spPr>
                </pic:pic>
              </a:graphicData>
            </a:graphic>
          </wp:inline>
        </w:drawing>
      </w:r>
    </w:p>
    <w:p w14:paraId="461B8CB1" w14:textId="77777777" w:rsidR="00F27861" w:rsidRPr="00A45186" w:rsidRDefault="00F27861" w:rsidP="00F27861">
      <w:pPr>
        <w:spacing w:after="0" w:line="480" w:lineRule="auto"/>
        <w:rPr>
          <w:rFonts w:ascii="Arial" w:hAnsi="Arial" w:cs="Arial"/>
          <w:sz w:val="20"/>
          <w:szCs w:val="20"/>
        </w:rPr>
      </w:pPr>
      <w:r w:rsidRPr="004E37AD">
        <w:rPr>
          <w:rFonts w:ascii="Arial" w:hAnsi="Arial" w:cs="Arial"/>
          <w:sz w:val="20"/>
          <w:szCs w:val="20"/>
        </w:rPr>
        <w:t>1. For Whites, these values were not calculated for ethnic economies but for the industries in which they were overrepresented.</w:t>
      </w:r>
    </w:p>
    <w:p w14:paraId="29F12BA8" w14:textId="77777777" w:rsidR="00F27861" w:rsidRDefault="00F27861" w:rsidP="00F27861">
      <w:pPr>
        <w:spacing w:after="0" w:line="480" w:lineRule="auto"/>
        <w:rPr>
          <w:rFonts w:ascii="Arial" w:hAnsi="Arial" w:cs="Arial"/>
          <w:sz w:val="20"/>
          <w:szCs w:val="20"/>
        </w:rPr>
      </w:pPr>
      <w:r w:rsidRPr="004E37AD">
        <w:rPr>
          <w:rFonts w:ascii="Arial" w:hAnsi="Arial" w:cs="Arial"/>
          <w:sz w:val="20"/>
          <w:szCs w:val="20"/>
        </w:rPr>
        <w:t>2. All variables in these columns were calculated only for those metro areas in which the particular group had an ethnic economy.</w:t>
      </w:r>
    </w:p>
    <w:p w14:paraId="24249F34" w14:textId="77777777" w:rsidR="00F27861" w:rsidRPr="00A45186" w:rsidRDefault="00F27861" w:rsidP="00F27861">
      <w:pPr>
        <w:spacing w:after="0" w:line="480" w:lineRule="auto"/>
        <w:rPr>
          <w:rFonts w:ascii="Arial" w:hAnsi="Arial" w:cs="Arial"/>
          <w:sz w:val="20"/>
          <w:szCs w:val="20"/>
        </w:rPr>
      </w:pPr>
    </w:p>
    <w:p w14:paraId="2BFC5932" w14:textId="77777777" w:rsidR="00F27861" w:rsidRPr="00A45186" w:rsidRDefault="00F27861" w:rsidP="00F27861">
      <w:pPr>
        <w:spacing w:after="0" w:line="480" w:lineRule="auto"/>
        <w:rPr>
          <w:rFonts w:cs="Times New Roman"/>
        </w:rPr>
      </w:pPr>
    </w:p>
    <w:p w14:paraId="0AF69BB3" w14:textId="77777777" w:rsidR="00F27861" w:rsidRDefault="00F27861" w:rsidP="00F27861">
      <w:pPr>
        <w:rPr>
          <w:rFonts w:cs="Times New Roman"/>
        </w:rPr>
      </w:pPr>
      <w:r>
        <w:rPr>
          <w:rFonts w:cs="Times New Roman"/>
        </w:rPr>
        <w:br w:type="page"/>
      </w:r>
    </w:p>
    <w:p w14:paraId="31BFCEE9" w14:textId="77777777" w:rsidR="00F27861" w:rsidRDefault="00F27861" w:rsidP="00F27861">
      <w:pPr>
        <w:spacing w:after="0" w:line="480" w:lineRule="auto"/>
        <w:rPr>
          <w:rFonts w:ascii="Arial" w:hAnsi="Arial" w:cs="Arial"/>
          <w:sz w:val="20"/>
          <w:szCs w:val="20"/>
        </w:rPr>
        <w:sectPr w:rsidR="00F27861" w:rsidSect="00865A3E">
          <w:pgSz w:w="15840" w:h="12240" w:orient="landscape"/>
          <w:pgMar w:top="1440" w:right="1440" w:bottom="1440" w:left="1440" w:header="720" w:footer="720" w:gutter="0"/>
          <w:cols w:space="720"/>
          <w:docGrid w:linePitch="360"/>
        </w:sectPr>
      </w:pPr>
    </w:p>
    <w:p w14:paraId="267192EB" w14:textId="77777777" w:rsidR="00F27861" w:rsidRDefault="00F27861" w:rsidP="00F27861">
      <w:pPr>
        <w:spacing w:after="0" w:line="480" w:lineRule="auto"/>
        <w:rPr>
          <w:rFonts w:ascii="Arial" w:hAnsi="Arial" w:cs="Arial"/>
          <w:sz w:val="20"/>
          <w:szCs w:val="20"/>
        </w:rPr>
      </w:pPr>
      <w:r>
        <w:rPr>
          <w:rFonts w:ascii="Arial" w:hAnsi="Arial" w:cs="Arial"/>
          <w:b/>
          <w:i/>
          <w:sz w:val="20"/>
          <w:szCs w:val="20"/>
        </w:rPr>
        <w:lastRenderedPageBreak/>
        <w:t>Appendix A4. Median Number of Ethnic Economy Workers for Selected Groups, by Year</w:t>
      </w:r>
    </w:p>
    <w:p w14:paraId="6E1E05C7" w14:textId="77777777" w:rsidR="00F27861" w:rsidRPr="00F44368" w:rsidRDefault="00F27861" w:rsidP="00F27861">
      <w:pPr>
        <w:spacing w:after="0" w:line="480" w:lineRule="auto"/>
        <w:rPr>
          <w:rFonts w:ascii="Arial" w:hAnsi="Arial" w:cs="Arial"/>
          <w:sz w:val="20"/>
          <w:szCs w:val="20"/>
        </w:rPr>
      </w:pPr>
      <w:r>
        <w:rPr>
          <w:rFonts w:ascii="Arial" w:hAnsi="Arial" w:cs="Arial"/>
          <w:sz w:val="20"/>
          <w:szCs w:val="20"/>
        </w:rPr>
        <w:tab/>
        <w:t xml:space="preserve">The figure below </w:t>
      </w:r>
      <w:r w:rsidRPr="00F44368">
        <w:rPr>
          <w:rFonts w:ascii="Arial" w:hAnsi="Arial" w:cs="Arial"/>
          <w:sz w:val="20"/>
          <w:szCs w:val="20"/>
        </w:rPr>
        <w:t xml:space="preserve">reveals the extent to which ethnic economy suburbanization followed general work decentralization, the association posited by Hypothesis 1c.  To simplify the presentation, I limit the figure to groups emblematic of larger trends.  </w:t>
      </w:r>
      <w:r>
        <w:rPr>
          <w:rFonts w:ascii="Arial" w:hAnsi="Arial" w:cs="Arial"/>
          <w:sz w:val="20"/>
          <w:szCs w:val="20"/>
        </w:rPr>
        <w:t>T</w:t>
      </w:r>
      <w:r w:rsidRPr="00F44368">
        <w:rPr>
          <w:rFonts w:ascii="Arial" w:hAnsi="Arial" w:cs="Arial"/>
          <w:sz w:val="20"/>
          <w:szCs w:val="20"/>
        </w:rPr>
        <w:t xml:space="preserve">he average number of Whites working in a central city dropped by almost one-fourth from 1990 to 2010, while the number in the suburbs doubled.  Among ethnic minority groups, only Korean ethnic economies followed a similar trend.  Dominican ethnic economies hardly suburbanized throughout the same time period.  Chinese ethnic economies, in a different manner, grew substantially in the suburbs but also grew in the city.  Finally, Mexican ethnic economies grew roughly equivalently in both the city and suburbs.  In sum, </w:t>
      </w:r>
      <w:r>
        <w:rPr>
          <w:rFonts w:ascii="Arial" w:hAnsi="Arial" w:cs="Arial"/>
          <w:sz w:val="20"/>
          <w:szCs w:val="20"/>
        </w:rPr>
        <w:t>I reject Hypothesis 1c.</w:t>
      </w:r>
    </w:p>
    <w:p w14:paraId="10D09D48" w14:textId="77777777" w:rsidR="00F27861" w:rsidRDefault="00F27861" w:rsidP="00F27861">
      <w:pPr>
        <w:rPr>
          <w:rFonts w:cs="Times New Roman"/>
        </w:rPr>
      </w:pPr>
      <w:r>
        <w:rPr>
          <w:rFonts w:cs="Times New Roman"/>
        </w:rPr>
        <w:br w:type="page"/>
      </w:r>
    </w:p>
    <w:p w14:paraId="2E2E7B8B" w14:textId="77777777" w:rsidR="00F27861" w:rsidRDefault="00F27861" w:rsidP="00F27861">
      <w:pPr>
        <w:rPr>
          <w:rFonts w:cs="Times New Roman"/>
        </w:rPr>
      </w:pPr>
    </w:p>
    <w:p w14:paraId="484659AA" w14:textId="77777777" w:rsidR="00F27861" w:rsidRPr="00FE7B87" w:rsidRDefault="00F27861" w:rsidP="00F27861">
      <w:pPr>
        <w:jc w:val="center"/>
        <w:rPr>
          <w:rFonts w:ascii="Arial" w:hAnsi="Arial" w:cs="Arial"/>
          <w:sz w:val="20"/>
          <w:szCs w:val="20"/>
        </w:rPr>
      </w:pPr>
      <w:r>
        <w:rPr>
          <w:rFonts w:ascii="Arial" w:hAnsi="Arial" w:cs="Arial"/>
          <w:noProof/>
          <w:sz w:val="20"/>
          <w:szCs w:val="20"/>
        </w:rPr>
        <w:drawing>
          <wp:inline distT="0" distB="0" distL="0" distR="0" wp14:anchorId="099FA78F" wp14:editId="4CEBCAED">
            <wp:extent cx="2774950" cy="1601554"/>
            <wp:effectExtent l="19050" t="0" r="6350" b="0"/>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2774950" cy="1601554"/>
                    </a:xfrm>
                    <a:prstGeom prst="rect">
                      <a:avLst/>
                    </a:prstGeom>
                    <a:noFill/>
                  </pic:spPr>
                </pic:pic>
              </a:graphicData>
            </a:graphic>
          </wp:inline>
        </w:drawing>
      </w:r>
    </w:p>
    <w:p w14:paraId="4DEAA440" w14:textId="77777777" w:rsidR="00F27861" w:rsidRPr="00FE7B87" w:rsidRDefault="00F27861" w:rsidP="00F27861">
      <w:pPr>
        <w:jc w:val="center"/>
        <w:rPr>
          <w:rFonts w:ascii="Arial" w:hAnsi="Arial" w:cs="Arial"/>
          <w:sz w:val="20"/>
          <w:szCs w:val="20"/>
        </w:rPr>
      </w:pPr>
      <w:r>
        <w:rPr>
          <w:rFonts w:ascii="Arial" w:hAnsi="Arial" w:cs="Arial"/>
          <w:noProof/>
          <w:sz w:val="20"/>
          <w:szCs w:val="20"/>
        </w:rPr>
        <w:drawing>
          <wp:inline distT="0" distB="0" distL="0" distR="0" wp14:anchorId="0CD4C5DC" wp14:editId="59B741A4">
            <wp:extent cx="5567149" cy="4147565"/>
            <wp:effectExtent l="0" t="0" r="0" b="0"/>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5569059" cy="4148988"/>
                    </a:xfrm>
                    <a:prstGeom prst="rect">
                      <a:avLst/>
                    </a:prstGeom>
                    <a:noFill/>
                  </pic:spPr>
                </pic:pic>
              </a:graphicData>
            </a:graphic>
          </wp:inline>
        </w:drawing>
      </w:r>
    </w:p>
    <w:p w14:paraId="3DAC0EC1" w14:textId="77777777" w:rsidR="00F27861" w:rsidRPr="00FE7B87" w:rsidRDefault="00F27861" w:rsidP="00F27861">
      <w:pPr>
        <w:spacing w:after="0" w:line="480" w:lineRule="auto"/>
        <w:rPr>
          <w:rFonts w:ascii="Arial" w:hAnsi="Arial" w:cs="Arial"/>
          <w:sz w:val="20"/>
          <w:szCs w:val="20"/>
        </w:rPr>
      </w:pPr>
      <w:r w:rsidRPr="00FE7B87">
        <w:rPr>
          <w:rFonts w:ascii="Arial" w:hAnsi="Arial" w:cs="Arial"/>
          <w:sz w:val="20"/>
          <w:szCs w:val="20"/>
        </w:rPr>
        <w:t>Rather than highlight workers in White ethnic economies, the first bar chart refers to those industries in which native-born, non-Hispanic Whites workers were overrepresented locally as self-employed and wage workers.</w:t>
      </w:r>
    </w:p>
    <w:p w14:paraId="0CBEE459" w14:textId="77777777" w:rsidR="00F27861" w:rsidRDefault="00F27861" w:rsidP="00F27861">
      <w:pPr>
        <w:rPr>
          <w:rFonts w:cs="Times New Roman"/>
        </w:rPr>
      </w:pPr>
      <w:r>
        <w:rPr>
          <w:rFonts w:cs="Times New Roman"/>
        </w:rPr>
        <w:br w:type="page"/>
      </w:r>
    </w:p>
    <w:p w14:paraId="124AE2D5" w14:textId="77777777" w:rsidR="00F27861" w:rsidRDefault="00F27861" w:rsidP="00F27861">
      <w:pPr>
        <w:rPr>
          <w:rFonts w:ascii="Arial" w:hAnsi="Arial" w:cs="Arial"/>
          <w:sz w:val="20"/>
          <w:szCs w:val="20"/>
        </w:rPr>
      </w:pPr>
      <w:r w:rsidRPr="004E37AD">
        <w:rPr>
          <w:rFonts w:ascii="Arial" w:hAnsi="Arial" w:cs="Arial"/>
          <w:b/>
          <w:i/>
          <w:sz w:val="20"/>
          <w:szCs w:val="20"/>
        </w:rPr>
        <w:lastRenderedPageBreak/>
        <w:t xml:space="preserve">Appendix </w:t>
      </w:r>
      <w:r>
        <w:rPr>
          <w:rFonts w:ascii="Arial" w:hAnsi="Arial" w:cs="Arial"/>
          <w:b/>
          <w:i/>
          <w:sz w:val="20"/>
          <w:szCs w:val="20"/>
        </w:rPr>
        <w:t>A5.</w:t>
      </w:r>
      <w:r w:rsidRPr="004E37AD">
        <w:rPr>
          <w:rFonts w:ascii="Arial" w:hAnsi="Arial" w:cs="Arial"/>
          <w:b/>
          <w:i/>
          <w:sz w:val="20"/>
          <w:szCs w:val="20"/>
        </w:rPr>
        <w:t xml:space="preserve"> Univariate Statistics and Correlation Matrices for </w:t>
      </w:r>
      <w:r>
        <w:rPr>
          <w:rFonts w:ascii="Arial" w:hAnsi="Arial" w:cs="Arial"/>
          <w:b/>
          <w:i/>
          <w:sz w:val="20"/>
          <w:szCs w:val="20"/>
        </w:rPr>
        <w:t xml:space="preserve">the </w:t>
      </w:r>
      <w:r w:rsidRPr="004E37AD">
        <w:rPr>
          <w:rFonts w:ascii="Arial" w:hAnsi="Arial" w:cs="Arial"/>
          <w:b/>
          <w:i/>
          <w:sz w:val="20"/>
          <w:szCs w:val="20"/>
        </w:rPr>
        <w:t>Dependent and Independent Variables Used to Test Hypothesis 1</w:t>
      </w:r>
    </w:p>
    <w:p w14:paraId="5DECB734" w14:textId="77777777" w:rsidR="00F27861" w:rsidRDefault="00F27861" w:rsidP="00F27861">
      <w:pPr>
        <w:jc w:val="center"/>
        <w:rPr>
          <w:rFonts w:ascii="Arial" w:hAnsi="Arial" w:cs="Arial"/>
          <w:sz w:val="20"/>
          <w:szCs w:val="20"/>
        </w:rPr>
      </w:pPr>
      <w:r>
        <w:rPr>
          <w:rFonts w:ascii="Arial" w:hAnsi="Arial" w:cs="Arial"/>
          <w:noProof/>
          <w:sz w:val="20"/>
          <w:szCs w:val="20"/>
        </w:rPr>
        <w:drawing>
          <wp:inline distT="0" distB="0" distL="0" distR="0" wp14:anchorId="665E1DAC" wp14:editId="43A53B4E">
            <wp:extent cx="5943600" cy="4690253"/>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4690253"/>
                    </a:xfrm>
                    <a:prstGeom prst="rect">
                      <a:avLst/>
                    </a:prstGeom>
                    <a:noFill/>
                    <a:ln w="9525">
                      <a:noFill/>
                      <a:miter lim="800000"/>
                      <a:headEnd/>
                      <a:tailEnd/>
                    </a:ln>
                  </pic:spPr>
                </pic:pic>
              </a:graphicData>
            </a:graphic>
          </wp:inline>
        </w:drawing>
      </w:r>
    </w:p>
    <w:p w14:paraId="5D3D3E13" w14:textId="77777777" w:rsidR="00F27861" w:rsidRPr="00FE7B87" w:rsidRDefault="00F27861" w:rsidP="00F27861">
      <w:pPr>
        <w:spacing w:after="0" w:line="480" w:lineRule="auto"/>
        <w:rPr>
          <w:rFonts w:ascii="Arial" w:hAnsi="Arial" w:cs="Arial"/>
          <w:color w:val="000000"/>
          <w:sz w:val="20"/>
          <w:szCs w:val="20"/>
        </w:rPr>
      </w:pPr>
      <w:r w:rsidRPr="00FE7B87">
        <w:rPr>
          <w:rFonts w:ascii="Arial" w:hAnsi="Arial" w:cs="Arial"/>
          <w:color w:val="000000"/>
          <w:sz w:val="20"/>
          <w:szCs w:val="20"/>
        </w:rPr>
        <w:t xml:space="preserve">‘EP’ refers to the local ethnic population of the MSA in which the ethnic economy </w:t>
      </w:r>
      <w:r>
        <w:rPr>
          <w:rFonts w:ascii="Arial" w:hAnsi="Arial" w:cs="Arial"/>
          <w:color w:val="000000"/>
          <w:sz w:val="20"/>
          <w:szCs w:val="20"/>
        </w:rPr>
        <w:t>occurred</w:t>
      </w:r>
      <w:r w:rsidRPr="00FE7B87">
        <w:rPr>
          <w:rFonts w:ascii="Arial" w:hAnsi="Arial" w:cs="Arial"/>
          <w:color w:val="000000"/>
          <w:sz w:val="20"/>
          <w:szCs w:val="20"/>
        </w:rPr>
        <w:t xml:space="preserve">. </w:t>
      </w:r>
    </w:p>
    <w:p w14:paraId="1183463B" w14:textId="77777777" w:rsidR="00F27861" w:rsidRPr="00FE7B87" w:rsidRDefault="00F27861" w:rsidP="00F27861">
      <w:pPr>
        <w:spacing w:after="0" w:line="480" w:lineRule="auto"/>
        <w:rPr>
          <w:rFonts w:ascii="Arial" w:hAnsi="Arial" w:cs="Arial"/>
          <w:sz w:val="20"/>
          <w:szCs w:val="20"/>
        </w:rPr>
      </w:pPr>
      <w:r w:rsidRPr="00FE7B87">
        <w:rPr>
          <w:rFonts w:ascii="Arial" w:hAnsi="Arial" w:cs="Arial"/>
          <w:sz w:val="20"/>
          <w:szCs w:val="20"/>
        </w:rPr>
        <w:t>1. See Lieberson (1976).</w:t>
      </w:r>
    </w:p>
    <w:p w14:paraId="742A0B6A" w14:textId="77777777" w:rsidR="00F27861" w:rsidRPr="00FE7B87" w:rsidRDefault="00F27861" w:rsidP="00F27861">
      <w:pPr>
        <w:spacing w:after="0" w:line="480" w:lineRule="auto"/>
        <w:rPr>
          <w:rFonts w:ascii="Arial" w:hAnsi="Arial" w:cs="Arial"/>
          <w:sz w:val="20"/>
          <w:szCs w:val="20"/>
        </w:rPr>
      </w:pPr>
      <w:r w:rsidRPr="00FE7B87">
        <w:rPr>
          <w:rFonts w:ascii="Arial" w:hAnsi="Arial" w:cs="Arial"/>
          <w:sz w:val="20"/>
          <w:szCs w:val="20"/>
        </w:rPr>
        <w:t xml:space="preserve">2. Recent immigrants are those who moved to </w:t>
      </w:r>
      <w:r>
        <w:rPr>
          <w:rFonts w:ascii="Arial" w:hAnsi="Arial" w:cs="Arial"/>
          <w:sz w:val="20"/>
          <w:szCs w:val="20"/>
        </w:rPr>
        <w:t>the U.S.</w:t>
      </w:r>
      <w:r w:rsidRPr="00FE7B87">
        <w:rPr>
          <w:rFonts w:ascii="Arial" w:hAnsi="Arial" w:cs="Arial"/>
          <w:sz w:val="20"/>
          <w:szCs w:val="20"/>
        </w:rPr>
        <w:t xml:space="preserve"> within the five years prior to when data were collected.</w:t>
      </w:r>
    </w:p>
    <w:p w14:paraId="0C04D460" w14:textId="77777777" w:rsidR="00F27861" w:rsidRPr="00FE7B87" w:rsidRDefault="00F27861" w:rsidP="00F27861">
      <w:pPr>
        <w:spacing w:after="0" w:line="480" w:lineRule="auto"/>
        <w:rPr>
          <w:rFonts w:ascii="Arial" w:hAnsi="Arial" w:cs="Arial"/>
          <w:sz w:val="20"/>
          <w:szCs w:val="20"/>
        </w:rPr>
      </w:pPr>
      <w:r w:rsidRPr="00FE7B87">
        <w:rPr>
          <w:rFonts w:ascii="Arial" w:hAnsi="Arial" w:cs="Arial"/>
          <w:sz w:val="20"/>
          <w:szCs w:val="20"/>
        </w:rPr>
        <w:t>3. Linguistic isolation includes those members of the local ethnic population who spoke little to no English.</w:t>
      </w:r>
    </w:p>
    <w:p w14:paraId="30542BE3" w14:textId="77777777" w:rsidR="00F27861" w:rsidRDefault="00F27861" w:rsidP="00F27861">
      <w:pPr>
        <w:rPr>
          <w:rFonts w:ascii="Arial" w:hAnsi="Arial" w:cs="Arial"/>
          <w:sz w:val="20"/>
          <w:szCs w:val="20"/>
        </w:rPr>
      </w:pPr>
    </w:p>
    <w:p w14:paraId="2824621B" w14:textId="77777777" w:rsidR="00F27861" w:rsidRDefault="00F27861" w:rsidP="00F27861">
      <w:pPr>
        <w:rPr>
          <w:rFonts w:ascii="Arial" w:hAnsi="Arial" w:cs="Arial"/>
          <w:sz w:val="20"/>
          <w:szCs w:val="20"/>
        </w:rPr>
      </w:pPr>
      <w:r>
        <w:rPr>
          <w:rFonts w:ascii="Arial" w:hAnsi="Arial" w:cs="Arial"/>
          <w:sz w:val="20"/>
          <w:szCs w:val="20"/>
        </w:rPr>
        <w:br w:type="page"/>
      </w:r>
    </w:p>
    <w:p w14:paraId="16D479F5" w14:textId="77777777" w:rsidR="00F27861" w:rsidRDefault="00F27861" w:rsidP="00F27861">
      <w:pPr>
        <w:rPr>
          <w:rFonts w:ascii="Arial" w:hAnsi="Arial" w:cs="Arial"/>
          <w:b/>
          <w:i/>
          <w:sz w:val="20"/>
          <w:szCs w:val="20"/>
        </w:rPr>
        <w:sectPr w:rsidR="00F27861" w:rsidSect="00865A3E">
          <w:pgSz w:w="12240" w:h="15840"/>
          <w:pgMar w:top="1440" w:right="1440" w:bottom="1440" w:left="1440" w:header="720" w:footer="720" w:gutter="0"/>
          <w:cols w:space="720"/>
          <w:docGrid w:linePitch="360"/>
        </w:sectPr>
      </w:pPr>
    </w:p>
    <w:p w14:paraId="70575ECD" w14:textId="77777777" w:rsidR="00F27861" w:rsidRDefault="00F27861" w:rsidP="00F27861">
      <w:pPr>
        <w:rPr>
          <w:rFonts w:ascii="Arial" w:hAnsi="Arial" w:cs="Arial"/>
          <w:sz w:val="20"/>
          <w:szCs w:val="20"/>
        </w:rPr>
      </w:pPr>
      <w:r>
        <w:rPr>
          <w:rFonts w:ascii="Arial" w:hAnsi="Arial" w:cs="Arial"/>
          <w:i/>
          <w:sz w:val="20"/>
          <w:szCs w:val="20"/>
        </w:rPr>
        <w:lastRenderedPageBreak/>
        <w:t>Ethnic Economies, 1990</w:t>
      </w:r>
    </w:p>
    <w:p w14:paraId="62DCE484" w14:textId="77777777" w:rsidR="00F27861" w:rsidRDefault="00F27861" w:rsidP="00F27861">
      <w:pPr>
        <w:jc w:val="center"/>
        <w:rPr>
          <w:rFonts w:ascii="Arial" w:hAnsi="Arial" w:cs="Arial"/>
          <w:sz w:val="20"/>
          <w:szCs w:val="20"/>
        </w:rPr>
      </w:pPr>
      <w:r>
        <w:rPr>
          <w:noProof/>
          <w:szCs w:val="20"/>
        </w:rPr>
        <w:drawing>
          <wp:inline distT="0" distB="0" distL="0" distR="0" wp14:anchorId="34E107C9" wp14:editId="37F48BCD">
            <wp:extent cx="5943600" cy="2337496"/>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3600" cy="2337496"/>
                    </a:xfrm>
                    <a:prstGeom prst="rect">
                      <a:avLst/>
                    </a:prstGeom>
                    <a:noFill/>
                    <a:ln w="9525">
                      <a:noFill/>
                      <a:miter lim="800000"/>
                      <a:headEnd/>
                      <a:tailEnd/>
                    </a:ln>
                  </pic:spPr>
                </pic:pic>
              </a:graphicData>
            </a:graphic>
          </wp:inline>
        </w:drawing>
      </w:r>
    </w:p>
    <w:p w14:paraId="4F379A82" w14:textId="77777777" w:rsidR="00F27861" w:rsidRDefault="00F27861" w:rsidP="00F27861">
      <w:pPr>
        <w:rPr>
          <w:rFonts w:ascii="Arial" w:hAnsi="Arial" w:cs="Arial"/>
          <w:sz w:val="20"/>
          <w:szCs w:val="20"/>
        </w:rPr>
      </w:pPr>
    </w:p>
    <w:p w14:paraId="232F3F0D" w14:textId="77777777" w:rsidR="00F27861" w:rsidRDefault="00F27861" w:rsidP="00F27861">
      <w:pPr>
        <w:rPr>
          <w:rFonts w:ascii="Arial" w:hAnsi="Arial" w:cs="Arial"/>
          <w:sz w:val="20"/>
          <w:szCs w:val="20"/>
        </w:rPr>
      </w:pPr>
      <w:r>
        <w:rPr>
          <w:rFonts w:ascii="Arial" w:hAnsi="Arial" w:cs="Arial"/>
          <w:i/>
          <w:sz w:val="20"/>
          <w:szCs w:val="20"/>
        </w:rPr>
        <w:t>Non-Hispanic Whites, 1990</w:t>
      </w:r>
    </w:p>
    <w:p w14:paraId="669296AF" w14:textId="77777777" w:rsidR="00F27861" w:rsidRDefault="00F27861" w:rsidP="00F27861">
      <w:pPr>
        <w:jc w:val="center"/>
        <w:rPr>
          <w:rFonts w:ascii="Arial" w:hAnsi="Arial" w:cs="Arial"/>
          <w:sz w:val="20"/>
          <w:szCs w:val="20"/>
        </w:rPr>
      </w:pPr>
      <w:r>
        <w:rPr>
          <w:noProof/>
          <w:szCs w:val="20"/>
        </w:rPr>
        <w:drawing>
          <wp:inline distT="0" distB="0" distL="0" distR="0" wp14:anchorId="3BA412E3" wp14:editId="20755905">
            <wp:extent cx="5943600" cy="2012117"/>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43600" cy="2012117"/>
                    </a:xfrm>
                    <a:prstGeom prst="rect">
                      <a:avLst/>
                    </a:prstGeom>
                    <a:noFill/>
                    <a:ln w="9525">
                      <a:noFill/>
                      <a:miter lim="800000"/>
                      <a:headEnd/>
                      <a:tailEnd/>
                    </a:ln>
                  </pic:spPr>
                </pic:pic>
              </a:graphicData>
            </a:graphic>
          </wp:inline>
        </w:drawing>
      </w:r>
    </w:p>
    <w:p w14:paraId="20ABA3EC" w14:textId="77777777" w:rsidR="00F27861" w:rsidRPr="00FE7B87" w:rsidRDefault="00F27861" w:rsidP="00F27861">
      <w:pPr>
        <w:spacing w:after="0" w:line="480" w:lineRule="auto"/>
        <w:rPr>
          <w:rFonts w:ascii="Arial" w:hAnsi="Arial" w:cs="Arial"/>
          <w:color w:val="000000"/>
          <w:sz w:val="20"/>
          <w:szCs w:val="20"/>
        </w:rPr>
      </w:pPr>
      <w:r w:rsidRPr="00FE7B87">
        <w:rPr>
          <w:rFonts w:ascii="Arial" w:hAnsi="Arial" w:cs="Arial"/>
          <w:color w:val="000000"/>
          <w:sz w:val="20"/>
          <w:szCs w:val="20"/>
        </w:rPr>
        <w:t xml:space="preserve">‘EP’ refers to the local ethnic population of the MSA in which the ethnic economy </w:t>
      </w:r>
      <w:r>
        <w:rPr>
          <w:rFonts w:ascii="Arial" w:hAnsi="Arial" w:cs="Arial"/>
          <w:color w:val="000000"/>
          <w:sz w:val="20"/>
          <w:szCs w:val="20"/>
        </w:rPr>
        <w:t>occurred</w:t>
      </w:r>
      <w:r w:rsidRPr="00FE7B87">
        <w:rPr>
          <w:rFonts w:ascii="Arial" w:hAnsi="Arial" w:cs="Arial"/>
          <w:color w:val="000000"/>
          <w:sz w:val="20"/>
          <w:szCs w:val="20"/>
        </w:rPr>
        <w:t xml:space="preserve">. </w:t>
      </w:r>
    </w:p>
    <w:p w14:paraId="73BC613C" w14:textId="77777777" w:rsidR="00F27861" w:rsidRPr="00FE7B87" w:rsidRDefault="00F27861" w:rsidP="00F27861">
      <w:pPr>
        <w:spacing w:after="0" w:line="480" w:lineRule="auto"/>
        <w:rPr>
          <w:rFonts w:ascii="Arial" w:hAnsi="Arial" w:cs="Arial"/>
          <w:sz w:val="20"/>
          <w:szCs w:val="20"/>
        </w:rPr>
      </w:pPr>
      <w:r w:rsidRPr="00FE7B87">
        <w:rPr>
          <w:rFonts w:ascii="Arial" w:hAnsi="Arial" w:cs="Arial"/>
          <w:sz w:val="20"/>
          <w:szCs w:val="20"/>
        </w:rPr>
        <w:t>1. See Lieberson (1976).</w:t>
      </w:r>
    </w:p>
    <w:p w14:paraId="1CEB2619" w14:textId="77777777" w:rsidR="00F27861" w:rsidRPr="00FE7B87" w:rsidRDefault="00F27861" w:rsidP="00F27861">
      <w:pPr>
        <w:spacing w:after="0" w:line="480" w:lineRule="auto"/>
        <w:rPr>
          <w:rFonts w:ascii="Arial" w:hAnsi="Arial" w:cs="Arial"/>
          <w:sz w:val="20"/>
          <w:szCs w:val="20"/>
        </w:rPr>
      </w:pPr>
      <w:r w:rsidRPr="00FE7B87">
        <w:rPr>
          <w:rFonts w:ascii="Arial" w:hAnsi="Arial" w:cs="Arial"/>
          <w:sz w:val="20"/>
          <w:szCs w:val="20"/>
        </w:rPr>
        <w:t xml:space="preserve">2. Recent immigrants are those who moved to </w:t>
      </w:r>
      <w:r>
        <w:rPr>
          <w:rFonts w:ascii="Arial" w:hAnsi="Arial" w:cs="Arial"/>
          <w:sz w:val="20"/>
          <w:szCs w:val="20"/>
        </w:rPr>
        <w:t xml:space="preserve">the U.S. </w:t>
      </w:r>
      <w:r w:rsidRPr="00FE7B87">
        <w:rPr>
          <w:rFonts w:ascii="Arial" w:hAnsi="Arial" w:cs="Arial"/>
          <w:sz w:val="20"/>
          <w:szCs w:val="20"/>
        </w:rPr>
        <w:t>within the five years prior to when data were collected.</w:t>
      </w:r>
    </w:p>
    <w:p w14:paraId="042144C2" w14:textId="77777777" w:rsidR="00F27861" w:rsidRPr="00FE7B87" w:rsidRDefault="00F27861" w:rsidP="00F27861">
      <w:pPr>
        <w:spacing w:after="0" w:line="480" w:lineRule="auto"/>
        <w:rPr>
          <w:rFonts w:ascii="Arial" w:hAnsi="Arial" w:cs="Arial"/>
          <w:sz w:val="20"/>
          <w:szCs w:val="20"/>
        </w:rPr>
      </w:pPr>
      <w:r w:rsidRPr="00FE7B87">
        <w:rPr>
          <w:rFonts w:ascii="Arial" w:hAnsi="Arial" w:cs="Arial"/>
          <w:sz w:val="20"/>
          <w:szCs w:val="20"/>
        </w:rPr>
        <w:t>3. Linguistic isolation includes those members of the local ethnic population who spoke little to no English.</w:t>
      </w:r>
    </w:p>
    <w:p w14:paraId="0B577862" w14:textId="77777777" w:rsidR="00F27861" w:rsidRDefault="00F27861" w:rsidP="00F27861">
      <w:pPr>
        <w:rPr>
          <w:rFonts w:ascii="Arial" w:hAnsi="Arial" w:cs="Arial"/>
          <w:sz w:val="20"/>
          <w:szCs w:val="20"/>
        </w:rPr>
      </w:pPr>
      <w:r>
        <w:rPr>
          <w:rFonts w:ascii="Arial" w:hAnsi="Arial" w:cs="Arial"/>
          <w:sz w:val="20"/>
          <w:szCs w:val="20"/>
        </w:rPr>
        <w:br w:type="page"/>
      </w:r>
    </w:p>
    <w:p w14:paraId="35B1FA07" w14:textId="77777777" w:rsidR="00F27861" w:rsidRDefault="00F27861" w:rsidP="00F27861">
      <w:pPr>
        <w:rPr>
          <w:rFonts w:ascii="Arial" w:hAnsi="Arial" w:cs="Arial"/>
          <w:i/>
          <w:sz w:val="20"/>
          <w:szCs w:val="20"/>
        </w:rPr>
      </w:pPr>
      <w:r>
        <w:rPr>
          <w:rFonts w:ascii="Arial" w:hAnsi="Arial" w:cs="Arial"/>
          <w:i/>
          <w:sz w:val="20"/>
          <w:szCs w:val="20"/>
        </w:rPr>
        <w:lastRenderedPageBreak/>
        <w:t>Ethnic Economies, 2000</w:t>
      </w:r>
    </w:p>
    <w:p w14:paraId="07D1C1C0" w14:textId="77777777" w:rsidR="00F27861" w:rsidRDefault="00F27861" w:rsidP="00F27861">
      <w:pPr>
        <w:jc w:val="center"/>
        <w:rPr>
          <w:rFonts w:ascii="Arial" w:hAnsi="Arial" w:cs="Arial"/>
          <w:i/>
          <w:sz w:val="20"/>
          <w:szCs w:val="20"/>
        </w:rPr>
      </w:pPr>
      <w:r>
        <w:rPr>
          <w:noProof/>
          <w:szCs w:val="20"/>
        </w:rPr>
        <w:drawing>
          <wp:inline distT="0" distB="0" distL="0" distR="0" wp14:anchorId="50E4E464" wp14:editId="781AA66B">
            <wp:extent cx="5943600" cy="2323133"/>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43600" cy="2323133"/>
                    </a:xfrm>
                    <a:prstGeom prst="rect">
                      <a:avLst/>
                    </a:prstGeom>
                    <a:noFill/>
                    <a:ln w="9525">
                      <a:noFill/>
                      <a:miter lim="800000"/>
                      <a:headEnd/>
                      <a:tailEnd/>
                    </a:ln>
                  </pic:spPr>
                </pic:pic>
              </a:graphicData>
            </a:graphic>
          </wp:inline>
        </w:drawing>
      </w:r>
    </w:p>
    <w:p w14:paraId="1502A91C" w14:textId="77777777" w:rsidR="00F27861" w:rsidRDefault="00F27861" w:rsidP="00F27861">
      <w:pPr>
        <w:rPr>
          <w:rFonts w:ascii="Arial" w:hAnsi="Arial" w:cs="Arial"/>
          <w:i/>
          <w:sz w:val="20"/>
          <w:szCs w:val="20"/>
        </w:rPr>
      </w:pPr>
    </w:p>
    <w:p w14:paraId="221E6027" w14:textId="77777777" w:rsidR="00F27861" w:rsidRDefault="00F27861" w:rsidP="00F27861">
      <w:pPr>
        <w:rPr>
          <w:rFonts w:ascii="Arial" w:hAnsi="Arial" w:cs="Arial"/>
          <w:i/>
          <w:sz w:val="20"/>
          <w:szCs w:val="20"/>
        </w:rPr>
      </w:pPr>
      <w:r>
        <w:rPr>
          <w:rFonts w:ascii="Arial" w:hAnsi="Arial" w:cs="Arial"/>
          <w:i/>
          <w:sz w:val="20"/>
          <w:szCs w:val="20"/>
        </w:rPr>
        <w:t>Non-Hispanic Whites, 2000</w:t>
      </w:r>
    </w:p>
    <w:p w14:paraId="025B8EDD" w14:textId="77777777" w:rsidR="00F27861" w:rsidRDefault="00F27861" w:rsidP="00F27861">
      <w:pPr>
        <w:jc w:val="center"/>
        <w:rPr>
          <w:rFonts w:ascii="Arial" w:hAnsi="Arial" w:cs="Arial"/>
          <w:i/>
          <w:sz w:val="20"/>
          <w:szCs w:val="20"/>
        </w:rPr>
      </w:pPr>
      <w:r>
        <w:rPr>
          <w:noProof/>
          <w:szCs w:val="20"/>
        </w:rPr>
        <w:drawing>
          <wp:inline distT="0" distB="0" distL="0" distR="0" wp14:anchorId="316F4BC3" wp14:editId="15BA391B">
            <wp:extent cx="5943600" cy="2012117"/>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943600" cy="2012117"/>
                    </a:xfrm>
                    <a:prstGeom prst="rect">
                      <a:avLst/>
                    </a:prstGeom>
                    <a:noFill/>
                    <a:ln w="9525">
                      <a:noFill/>
                      <a:miter lim="800000"/>
                      <a:headEnd/>
                      <a:tailEnd/>
                    </a:ln>
                  </pic:spPr>
                </pic:pic>
              </a:graphicData>
            </a:graphic>
          </wp:inline>
        </w:drawing>
      </w:r>
    </w:p>
    <w:p w14:paraId="0D846DD5" w14:textId="77777777" w:rsidR="00F27861" w:rsidRPr="00FE7B87" w:rsidRDefault="00F27861" w:rsidP="00F27861">
      <w:pPr>
        <w:spacing w:after="0" w:line="480" w:lineRule="auto"/>
        <w:rPr>
          <w:rFonts w:ascii="Arial" w:hAnsi="Arial" w:cs="Arial"/>
          <w:color w:val="000000"/>
          <w:sz w:val="20"/>
          <w:szCs w:val="20"/>
        </w:rPr>
      </w:pPr>
      <w:r w:rsidRPr="00FE7B87">
        <w:rPr>
          <w:rFonts w:ascii="Arial" w:hAnsi="Arial" w:cs="Arial"/>
          <w:color w:val="000000"/>
          <w:sz w:val="20"/>
          <w:szCs w:val="20"/>
        </w:rPr>
        <w:t xml:space="preserve">‘EP’ refers to the local ethnic population of the MSA in which the ethnic economy </w:t>
      </w:r>
      <w:r>
        <w:rPr>
          <w:rFonts w:ascii="Arial" w:hAnsi="Arial" w:cs="Arial"/>
          <w:color w:val="000000"/>
          <w:sz w:val="20"/>
          <w:szCs w:val="20"/>
        </w:rPr>
        <w:t>occurred</w:t>
      </w:r>
      <w:r w:rsidRPr="00FE7B87">
        <w:rPr>
          <w:rFonts w:ascii="Arial" w:hAnsi="Arial" w:cs="Arial"/>
          <w:color w:val="000000"/>
          <w:sz w:val="20"/>
          <w:szCs w:val="20"/>
        </w:rPr>
        <w:t xml:space="preserve">. </w:t>
      </w:r>
    </w:p>
    <w:p w14:paraId="2C764B0A" w14:textId="77777777" w:rsidR="00F27861" w:rsidRPr="00FE7B87" w:rsidRDefault="00F27861" w:rsidP="00F27861">
      <w:pPr>
        <w:spacing w:after="0" w:line="480" w:lineRule="auto"/>
        <w:rPr>
          <w:rFonts w:ascii="Arial" w:hAnsi="Arial" w:cs="Arial"/>
          <w:sz w:val="20"/>
          <w:szCs w:val="20"/>
        </w:rPr>
      </w:pPr>
      <w:r w:rsidRPr="00FE7B87">
        <w:rPr>
          <w:rFonts w:ascii="Arial" w:hAnsi="Arial" w:cs="Arial"/>
          <w:sz w:val="20"/>
          <w:szCs w:val="20"/>
        </w:rPr>
        <w:t>1. See Lieberson (1976).</w:t>
      </w:r>
    </w:p>
    <w:p w14:paraId="51299420" w14:textId="77777777" w:rsidR="00F27861" w:rsidRPr="00FE7B87" w:rsidRDefault="00F27861" w:rsidP="00F27861">
      <w:pPr>
        <w:spacing w:after="0" w:line="480" w:lineRule="auto"/>
        <w:rPr>
          <w:rFonts w:ascii="Arial" w:hAnsi="Arial" w:cs="Arial"/>
          <w:sz w:val="20"/>
          <w:szCs w:val="20"/>
        </w:rPr>
      </w:pPr>
      <w:r w:rsidRPr="00FE7B87">
        <w:rPr>
          <w:rFonts w:ascii="Arial" w:hAnsi="Arial" w:cs="Arial"/>
          <w:sz w:val="20"/>
          <w:szCs w:val="20"/>
        </w:rPr>
        <w:t xml:space="preserve">2. Recent immigrants are those who moved to </w:t>
      </w:r>
      <w:r>
        <w:rPr>
          <w:rFonts w:ascii="Arial" w:hAnsi="Arial" w:cs="Arial"/>
          <w:sz w:val="20"/>
          <w:szCs w:val="20"/>
        </w:rPr>
        <w:t>the U.S.</w:t>
      </w:r>
      <w:r w:rsidRPr="00FE7B87">
        <w:rPr>
          <w:rFonts w:ascii="Arial" w:hAnsi="Arial" w:cs="Arial"/>
          <w:sz w:val="20"/>
          <w:szCs w:val="20"/>
        </w:rPr>
        <w:t xml:space="preserve"> within the five years prior to when data were collected.</w:t>
      </w:r>
    </w:p>
    <w:p w14:paraId="43247321" w14:textId="77777777" w:rsidR="00F27861" w:rsidRPr="00FE7B87" w:rsidRDefault="00F27861" w:rsidP="00F27861">
      <w:pPr>
        <w:spacing w:after="0" w:line="480" w:lineRule="auto"/>
        <w:rPr>
          <w:rFonts w:ascii="Arial" w:hAnsi="Arial" w:cs="Arial"/>
          <w:sz w:val="20"/>
          <w:szCs w:val="20"/>
        </w:rPr>
      </w:pPr>
      <w:r w:rsidRPr="00FE7B87">
        <w:rPr>
          <w:rFonts w:ascii="Arial" w:hAnsi="Arial" w:cs="Arial"/>
          <w:sz w:val="20"/>
          <w:szCs w:val="20"/>
        </w:rPr>
        <w:t>3. Linguistic isolation includes those members of the local ethnic population who spoke little to no English.</w:t>
      </w:r>
    </w:p>
    <w:p w14:paraId="68619B38" w14:textId="77777777" w:rsidR="00F27861" w:rsidRDefault="00F27861" w:rsidP="00F27861">
      <w:pPr>
        <w:rPr>
          <w:rFonts w:ascii="Arial" w:hAnsi="Arial" w:cs="Arial"/>
          <w:sz w:val="20"/>
          <w:szCs w:val="20"/>
        </w:rPr>
      </w:pPr>
    </w:p>
    <w:p w14:paraId="038C9235" w14:textId="77777777" w:rsidR="00F27861" w:rsidRDefault="00F27861" w:rsidP="00F27861">
      <w:pPr>
        <w:rPr>
          <w:rFonts w:ascii="Arial" w:hAnsi="Arial" w:cs="Arial"/>
          <w:sz w:val="20"/>
          <w:szCs w:val="20"/>
        </w:rPr>
      </w:pPr>
      <w:r>
        <w:rPr>
          <w:rFonts w:ascii="Arial" w:hAnsi="Arial" w:cs="Arial"/>
          <w:sz w:val="20"/>
          <w:szCs w:val="20"/>
        </w:rPr>
        <w:br w:type="page"/>
      </w:r>
    </w:p>
    <w:p w14:paraId="42D1AD15" w14:textId="77777777" w:rsidR="00F27861" w:rsidRDefault="00F27861" w:rsidP="00F27861">
      <w:pPr>
        <w:rPr>
          <w:rFonts w:ascii="Arial" w:hAnsi="Arial" w:cs="Arial"/>
          <w:sz w:val="20"/>
          <w:szCs w:val="20"/>
        </w:rPr>
      </w:pPr>
      <w:r>
        <w:rPr>
          <w:rFonts w:ascii="Arial" w:hAnsi="Arial" w:cs="Arial"/>
          <w:i/>
          <w:sz w:val="20"/>
          <w:szCs w:val="20"/>
        </w:rPr>
        <w:lastRenderedPageBreak/>
        <w:t>Ethnic Economies, 2010</w:t>
      </w:r>
    </w:p>
    <w:p w14:paraId="00E9D074" w14:textId="77777777" w:rsidR="00F27861" w:rsidRDefault="00F27861" w:rsidP="00F27861">
      <w:pPr>
        <w:jc w:val="center"/>
        <w:rPr>
          <w:rFonts w:ascii="Arial" w:hAnsi="Arial" w:cs="Arial"/>
          <w:sz w:val="20"/>
          <w:szCs w:val="20"/>
        </w:rPr>
      </w:pPr>
      <w:r>
        <w:rPr>
          <w:noProof/>
          <w:szCs w:val="20"/>
        </w:rPr>
        <w:drawing>
          <wp:inline distT="0" distB="0" distL="0" distR="0" wp14:anchorId="242D7C4E" wp14:editId="0006785C">
            <wp:extent cx="5943600" cy="2337496"/>
            <wp:effectExtent l="1905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943600" cy="2337496"/>
                    </a:xfrm>
                    <a:prstGeom prst="rect">
                      <a:avLst/>
                    </a:prstGeom>
                    <a:noFill/>
                    <a:ln w="9525">
                      <a:noFill/>
                      <a:miter lim="800000"/>
                      <a:headEnd/>
                      <a:tailEnd/>
                    </a:ln>
                  </pic:spPr>
                </pic:pic>
              </a:graphicData>
            </a:graphic>
          </wp:inline>
        </w:drawing>
      </w:r>
    </w:p>
    <w:p w14:paraId="24EEB31B" w14:textId="77777777" w:rsidR="00F27861" w:rsidRDefault="00F27861" w:rsidP="00F27861">
      <w:pPr>
        <w:rPr>
          <w:rFonts w:ascii="Arial" w:hAnsi="Arial" w:cs="Arial"/>
          <w:sz w:val="20"/>
          <w:szCs w:val="20"/>
        </w:rPr>
      </w:pPr>
    </w:p>
    <w:p w14:paraId="7459D8CA" w14:textId="77777777" w:rsidR="00F27861" w:rsidRDefault="00F27861" w:rsidP="00F27861">
      <w:pPr>
        <w:rPr>
          <w:rFonts w:ascii="Arial" w:hAnsi="Arial" w:cs="Arial"/>
          <w:sz w:val="20"/>
          <w:szCs w:val="20"/>
        </w:rPr>
      </w:pPr>
      <w:r>
        <w:rPr>
          <w:rFonts w:ascii="Arial" w:hAnsi="Arial" w:cs="Arial"/>
          <w:i/>
          <w:sz w:val="20"/>
          <w:szCs w:val="20"/>
        </w:rPr>
        <w:t>Non-Hispanic Whites, 2010</w:t>
      </w:r>
    </w:p>
    <w:p w14:paraId="35DEBBC0" w14:textId="77777777" w:rsidR="00F27861" w:rsidRDefault="00F27861" w:rsidP="00F27861">
      <w:pPr>
        <w:jc w:val="center"/>
        <w:rPr>
          <w:rFonts w:ascii="Arial" w:hAnsi="Arial" w:cs="Arial"/>
          <w:sz w:val="20"/>
          <w:szCs w:val="20"/>
        </w:rPr>
      </w:pPr>
      <w:r>
        <w:rPr>
          <w:noProof/>
          <w:szCs w:val="20"/>
        </w:rPr>
        <w:drawing>
          <wp:inline distT="0" distB="0" distL="0" distR="0" wp14:anchorId="1344017F" wp14:editId="32FA0EB9">
            <wp:extent cx="5943600" cy="2012117"/>
            <wp:effectExtent l="1905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943600" cy="2012117"/>
                    </a:xfrm>
                    <a:prstGeom prst="rect">
                      <a:avLst/>
                    </a:prstGeom>
                    <a:noFill/>
                    <a:ln w="9525">
                      <a:noFill/>
                      <a:miter lim="800000"/>
                      <a:headEnd/>
                      <a:tailEnd/>
                    </a:ln>
                  </pic:spPr>
                </pic:pic>
              </a:graphicData>
            </a:graphic>
          </wp:inline>
        </w:drawing>
      </w:r>
    </w:p>
    <w:p w14:paraId="3CD58872" w14:textId="77777777" w:rsidR="00F27861" w:rsidRPr="00FE7B87" w:rsidRDefault="00F27861" w:rsidP="00F27861">
      <w:pPr>
        <w:spacing w:after="0" w:line="480" w:lineRule="auto"/>
        <w:rPr>
          <w:rFonts w:ascii="Arial" w:hAnsi="Arial" w:cs="Arial"/>
          <w:color w:val="000000"/>
          <w:sz w:val="20"/>
          <w:szCs w:val="20"/>
        </w:rPr>
      </w:pPr>
      <w:r w:rsidRPr="00FE7B87">
        <w:rPr>
          <w:rFonts w:ascii="Arial" w:hAnsi="Arial" w:cs="Arial"/>
          <w:color w:val="000000"/>
          <w:sz w:val="20"/>
          <w:szCs w:val="20"/>
        </w:rPr>
        <w:t xml:space="preserve">‘EP’ refers to the local ethnic population of the MSA in which the ethnic economy </w:t>
      </w:r>
      <w:r>
        <w:rPr>
          <w:rFonts w:ascii="Arial" w:hAnsi="Arial" w:cs="Arial"/>
          <w:color w:val="000000"/>
          <w:sz w:val="20"/>
          <w:szCs w:val="20"/>
        </w:rPr>
        <w:t>occurred</w:t>
      </w:r>
      <w:r w:rsidRPr="00FE7B87">
        <w:rPr>
          <w:rFonts w:ascii="Arial" w:hAnsi="Arial" w:cs="Arial"/>
          <w:color w:val="000000"/>
          <w:sz w:val="20"/>
          <w:szCs w:val="20"/>
        </w:rPr>
        <w:t xml:space="preserve">. </w:t>
      </w:r>
    </w:p>
    <w:p w14:paraId="66E05321" w14:textId="77777777" w:rsidR="00F27861" w:rsidRPr="00FE7B87" w:rsidRDefault="00F27861" w:rsidP="00F27861">
      <w:pPr>
        <w:spacing w:after="0" w:line="480" w:lineRule="auto"/>
        <w:rPr>
          <w:rFonts w:ascii="Arial" w:hAnsi="Arial" w:cs="Arial"/>
          <w:sz w:val="20"/>
          <w:szCs w:val="20"/>
        </w:rPr>
      </w:pPr>
      <w:r w:rsidRPr="00FE7B87">
        <w:rPr>
          <w:rFonts w:ascii="Arial" w:hAnsi="Arial" w:cs="Arial"/>
          <w:sz w:val="20"/>
          <w:szCs w:val="20"/>
        </w:rPr>
        <w:t>1. See Lieberson (1976).</w:t>
      </w:r>
    </w:p>
    <w:p w14:paraId="46E21166" w14:textId="77777777" w:rsidR="00F27861" w:rsidRPr="00FE7B87" w:rsidRDefault="00F27861" w:rsidP="00F27861">
      <w:pPr>
        <w:spacing w:after="0" w:line="480" w:lineRule="auto"/>
        <w:rPr>
          <w:rFonts w:ascii="Arial" w:hAnsi="Arial" w:cs="Arial"/>
          <w:sz w:val="20"/>
          <w:szCs w:val="20"/>
        </w:rPr>
      </w:pPr>
      <w:r w:rsidRPr="00FE7B87">
        <w:rPr>
          <w:rFonts w:ascii="Arial" w:hAnsi="Arial" w:cs="Arial"/>
          <w:sz w:val="20"/>
          <w:szCs w:val="20"/>
        </w:rPr>
        <w:t xml:space="preserve">2. Recent immigrants are those who moved to </w:t>
      </w:r>
      <w:r>
        <w:rPr>
          <w:rFonts w:ascii="Arial" w:hAnsi="Arial" w:cs="Arial"/>
          <w:sz w:val="20"/>
          <w:szCs w:val="20"/>
        </w:rPr>
        <w:t>the U.S.</w:t>
      </w:r>
      <w:r w:rsidRPr="00FE7B87">
        <w:rPr>
          <w:rFonts w:ascii="Arial" w:hAnsi="Arial" w:cs="Arial"/>
          <w:sz w:val="20"/>
          <w:szCs w:val="20"/>
        </w:rPr>
        <w:t xml:space="preserve"> within the five years prior to when data were collected.</w:t>
      </w:r>
    </w:p>
    <w:p w14:paraId="69C24BEC" w14:textId="77777777" w:rsidR="00F27861" w:rsidRPr="00FE7B87" w:rsidRDefault="00F27861" w:rsidP="00F27861">
      <w:pPr>
        <w:spacing w:after="0" w:line="480" w:lineRule="auto"/>
        <w:rPr>
          <w:rFonts w:ascii="Arial" w:hAnsi="Arial" w:cs="Arial"/>
          <w:sz w:val="20"/>
          <w:szCs w:val="20"/>
        </w:rPr>
      </w:pPr>
      <w:r w:rsidRPr="00FE7B87">
        <w:rPr>
          <w:rFonts w:ascii="Arial" w:hAnsi="Arial" w:cs="Arial"/>
          <w:sz w:val="20"/>
          <w:szCs w:val="20"/>
        </w:rPr>
        <w:t>3. Linguistic isolation includes those members of the local ethnic population who spoke little to no English.</w:t>
      </w:r>
    </w:p>
    <w:p w14:paraId="5DE77CB7" w14:textId="77777777" w:rsidR="00F27861" w:rsidRDefault="00F27861" w:rsidP="00F27861">
      <w:pPr>
        <w:rPr>
          <w:rFonts w:ascii="Arial" w:hAnsi="Arial" w:cs="Arial"/>
          <w:sz w:val="20"/>
          <w:szCs w:val="20"/>
        </w:rPr>
      </w:pPr>
      <w:r>
        <w:rPr>
          <w:rFonts w:ascii="Arial" w:hAnsi="Arial" w:cs="Arial"/>
          <w:sz w:val="20"/>
          <w:szCs w:val="20"/>
        </w:rPr>
        <w:br w:type="page"/>
      </w:r>
    </w:p>
    <w:p w14:paraId="14A86C79" w14:textId="77777777" w:rsidR="00F27861" w:rsidRDefault="00F27861" w:rsidP="00F27861">
      <w:pPr>
        <w:rPr>
          <w:rFonts w:ascii="Arial" w:hAnsi="Arial" w:cs="Arial"/>
          <w:sz w:val="20"/>
          <w:szCs w:val="20"/>
        </w:rPr>
        <w:sectPr w:rsidR="00F27861" w:rsidSect="00865A3E">
          <w:pgSz w:w="12240" w:h="15840"/>
          <w:pgMar w:top="1440" w:right="1440" w:bottom="1440" w:left="1440" w:header="720" w:footer="720" w:gutter="0"/>
          <w:cols w:space="720"/>
          <w:docGrid w:linePitch="360"/>
        </w:sectPr>
      </w:pPr>
    </w:p>
    <w:p w14:paraId="1C561854" w14:textId="77777777" w:rsidR="00F27861" w:rsidRDefault="00F27861" w:rsidP="00F27861">
      <w:pPr>
        <w:rPr>
          <w:rFonts w:ascii="Arial" w:hAnsi="Arial" w:cs="Arial"/>
          <w:sz w:val="20"/>
          <w:szCs w:val="20"/>
        </w:rPr>
      </w:pPr>
      <w:r w:rsidRPr="00BF14F4">
        <w:rPr>
          <w:rFonts w:ascii="Arial" w:hAnsi="Arial" w:cs="Arial"/>
          <w:b/>
          <w:i/>
          <w:sz w:val="20"/>
          <w:szCs w:val="20"/>
        </w:rPr>
        <w:lastRenderedPageBreak/>
        <w:t xml:space="preserve">Appendix A6. </w:t>
      </w:r>
      <w:r>
        <w:rPr>
          <w:rFonts w:ascii="Arial" w:hAnsi="Arial" w:cs="Arial"/>
          <w:b/>
          <w:i/>
          <w:sz w:val="20"/>
          <w:szCs w:val="20"/>
        </w:rPr>
        <w:t>Unweighted OLS Regressions of Logged Annual Income on Key Correlates</w:t>
      </w:r>
    </w:p>
    <w:p w14:paraId="2DF01519" w14:textId="77777777" w:rsidR="00F27861" w:rsidRDefault="00F27861" w:rsidP="00F27861">
      <w:pPr>
        <w:rPr>
          <w:rFonts w:ascii="Arial" w:hAnsi="Arial" w:cs="Arial"/>
          <w:sz w:val="20"/>
          <w:szCs w:val="20"/>
        </w:rPr>
      </w:pPr>
      <w:r>
        <w:rPr>
          <w:rFonts w:ascii="Arial" w:hAnsi="Arial" w:cs="Arial"/>
          <w:i/>
          <w:sz w:val="20"/>
          <w:szCs w:val="20"/>
        </w:rPr>
        <w:t>1990</w:t>
      </w:r>
    </w:p>
    <w:p w14:paraId="6E663DF7" w14:textId="77777777" w:rsidR="00F27861" w:rsidRDefault="00F27861" w:rsidP="00F27861">
      <w:pPr>
        <w:jc w:val="center"/>
        <w:rPr>
          <w:rFonts w:ascii="Arial" w:hAnsi="Arial" w:cs="Arial"/>
          <w:sz w:val="20"/>
          <w:szCs w:val="20"/>
        </w:rPr>
      </w:pPr>
      <w:r w:rsidRPr="00A271FB">
        <w:rPr>
          <w:noProof/>
          <w:szCs w:val="20"/>
        </w:rPr>
        <w:drawing>
          <wp:inline distT="0" distB="0" distL="0" distR="0" wp14:anchorId="3E13AF6F" wp14:editId="143E0FFE">
            <wp:extent cx="5746071" cy="6874270"/>
            <wp:effectExtent l="19050" t="0" r="702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748308" cy="6876946"/>
                    </a:xfrm>
                    <a:prstGeom prst="rect">
                      <a:avLst/>
                    </a:prstGeom>
                    <a:noFill/>
                    <a:ln w="9525">
                      <a:noFill/>
                      <a:miter lim="800000"/>
                      <a:headEnd/>
                      <a:tailEnd/>
                    </a:ln>
                  </pic:spPr>
                </pic:pic>
              </a:graphicData>
            </a:graphic>
          </wp:inline>
        </w:drawing>
      </w:r>
    </w:p>
    <w:p w14:paraId="63641D6C" w14:textId="77777777" w:rsidR="00F27861" w:rsidRDefault="00F27861" w:rsidP="00F27861">
      <w:pPr>
        <w:rPr>
          <w:rFonts w:ascii="Arial" w:hAnsi="Arial" w:cs="Arial"/>
          <w:sz w:val="20"/>
          <w:szCs w:val="20"/>
        </w:rPr>
      </w:pPr>
      <w:r>
        <w:rPr>
          <w:rFonts w:ascii="Arial" w:hAnsi="Arial" w:cs="Arial"/>
          <w:sz w:val="20"/>
          <w:szCs w:val="20"/>
        </w:rPr>
        <w:t>*p&lt;0.05</w:t>
      </w:r>
    </w:p>
    <w:p w14:paraId="12C99945" w14:textId="77777777" w:rsidR="00F27861" w:rsidRDefault="00F27861" w:rsidP="00F27861">
      <w:pPr>
        <w:rPr>
          <w:rFonts w:ascii="Arial" w:hAnsi="Arial" w:cs="Arial"/>
          <w:sz w:val="20"/>
          <w:szCs w:val="20"/>
        </w:rPr>
      </w:pPr>
      <w:r>
        <w:rPr>
          <w:rFonts w:ascii="Arial" w:hAnsi="Arial" w:cs="Arial"/>
          <w:sz w:val="20"/>
          <w:szCs w:val="20"/>
        </w:rPr>
        <w:t>‘EE’ stands for Ethnic Economy.  ‘SE’ stands for Self-Employed.</w:t>
      </w:r>
    </w:p>
    <w:p w14:paraId="5B09A828" w14:textId="77777777" w:rsidR="00F27861" w:rsidRDefault="00F27861" w:rsidP="00F27861">
      <w:pPr>
        <w:rPr>
          <w:rFonts w:ascii="Arial" w:hAnsi="Arial" w:cs="Arial"/>
          <w:sz w:val="20"/>
          <w:szCs w:val="20"/>
        </w:rPr>
      </w:pPr>
      <w:r>
        <w:rPr>
          <w:rFonts w:ascii="Arial" w:hAnsi="Arial" w:cs="Arial"/>
          <w:i/>
          <w:sz w:val="20"/>
          <w:szCs w:val="20"/>
        </w:rPr>
        <w:lastRenderedPageBreak/>
        <w:t>2000</w:t>
      </w:r>
    </w:p>
    <w:p w14:paraId="1C84FA4C" w14:textId="77777777" w:rsidR="00F27861" w:rsidRDefault="00F27861" w:rsidP="00F27861">
      <w:pPr>
        <w:jc w:val="center"/>
        <w:rPr>
          <w:rFonts w:ascii="Arial" w:hAnsi="Arial" w:cs="Arial"/>
          <w:sz w:val="20"/>
          <w:szCs w:val="20"/>
        </w:rPr>
      </w:pPr>
      <w:r w:rsidRPr="00A271FB">
        <w:rPr>
          <w:noProof/>
          <w:szCs w:val="20"/>
        </w:rPr>
        <w:drawing>
          <wp:inline distT="0" distB="0" distL="0" distR="0" wp14:anchorId="2BF82E82" wp14:editId="6B1D03A5">
            <wp:extent cx="5943600" cy="7214741"/>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943600" cy="7214741"/>
                    </a:xfrm>
                    <a:prstGeom prst="rect">
                      <a:avLst/>
                    </a:prstGeom>
                    <a:noFill/>
                    <a:ln w="9525">
                      <a:noFill/>
                      <a:miter lim="800000"/>
                      <a:headEnd/>
                      <a:tailEnd/>
                    </a:ln>
                  </pic:spPr>
                </pic:pic>
              </a:graphicData>
            </a:graphic>
          </wp:inline>
        </w:drawing>
      </w:r>
    </w:p>
    <w:p w14:paraId="34830170" w14:textId="77777777" w:rsidR="00F27861" w:rsidRDefault="00F27861" w:rsidP="00F27861">
      <w:pPr>
        <w:rPr>
          <w:rFonts w:ascii="Arial" w:hAnsi="Arial" w:cs="Arial"/>
          <w:sz w:val="20"/>
          <w:szCs w:val="20"/>
        </w:rPr>
      </w:pPr>
      <w:r>
        <w:rPr>
          <w:rFonts w:ascii="Arial" w:hAnsi="Arial" w:cs="Arial"/>
          <w:sz w:val="20"/>
          <w:szCs w:val="20"/>
        </w:rPr>
        <w:t>*p&lt;0.05</w:t>
      </w:r>
    </w:p>
    <w:p w14:paraId="20DAF8A3" w14:textId="77777777" w:rsidR="00F27861" w:rsidRDefault="00F27861" w:rsidP="00F27861">
      <w:pPr>
        <w:rPr>
          <w:rFonts w:ascii="Arial" w:hAnsi="Arial" w:cs="Arial"/>
          <w:sz w:val="20"/>
          <w:szCs w:val="20"/>
        </w:rPr>
      </w:pPr>
      <w:r>
        <w:rPr>
          <w:rFonts w:ascii="Arial" w:hAnsi="Arial" w:cs="Arial"/>
          <w:sz w:val="20"/>
          <w:szCs w:val="20"/>
        </w:rPr>
        <w:t>‘EE’ stands for Ethnic Economy.  ‘SE’ stands for Self-Employed.</w:t>
      </w:r>
    </w:p>
    <w:p w14:paraId="0B813B9E" w14:textId="77777777" w:rsidR="00F27861" w:rsidRDefault="00F27861" w:rsidP="00F27861">
      <w:pPr>
        <w:rPr>
          <w:rFonts w:ascii="Arial" w:hAnsi="Arial" w:cs="Arial"/>
          <w:sz w:val="20"/>
          <w:szCs w:val="20"/>
        </w:rPr>
      </w:pPr>
      <w:r>
        <w:rPr>
          <w:rFonts w:ascii="Arial" w:hAnsi="Arial" w:cs="Arial"/>
          <w:i/>
          <w:sz w:val="20"/>
          <w:szCs w:val="20"/>
        </w:rPr>
        <w:lastRenderedPageBreak/>
        <w:t>2010</w:t>
      </w:r>
    </w:p>
    <w:p w14:paraId="77D8CAED" w14:textId="77777777" w:rsidR="00F27861" w:rsidRDefault="00F27861" w:rsidP="00F27861">
      <w:pPr>
        <w:jc w:val="center"/>
        <w:rPr>
          <w:rFonts w:ascii="Arial" w:hAnsi="Arial" w:cs="Arial"/>
          <w:sz w:val="20"/>
          <w:szCs w:val="20"/>
        </w:rPr>
      </w:pPr>
      <w:r w:rsidRPr="00A271FB">
        <w:rPr>
          <w:noProof/>
          <w:szCs w:val="20"/>
        </w:rPr>
        <w:drawing>
          <wp:inline distT="0" distB="0" distL="0" distR="0" wp14:anchorId="5321C9A6" wp14:editId="5241D71F">
            <wp:extent cx="5943600" cy="729308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943600" cy="7293085"/>
                    </a:xfrm>
                    <a:prstGeom prst="rect">
                      <a:avLst/>
                    </a:prstGeom>
                    <a:noFill/>
                    <a:ln w="9525">
                      <a:noFill/>
                      <a:miter lim="800000"/>
                      <a:headEnd/>
                      <a:tailEnd/>
                    </a:ln>
                  </pic:spPr>
                </pic:pic>
              </a:graphicData>
            </a:graphic>
          </wp:inline>
        </w:drawing>
      </w:r>
    </w:p>
    <w:p w14:paraId="52EDDE95" w14:textId="77777777" w:rsidR="00F27861" w:rsidRDefault="00F27861" w:rsidP="00F27861">
      <w:pPr>
        <w:rPr>
          <w:rFonts w:ascii="Arial" w:hAnsi="Arial" w:cs="Arial"/>
          <w:sz w:val="20"/>
          <w:szCs w:val="20"/>
        </w:rPr>
      </w:pPr>
      <w:r>
        <w:rPr>
          <w:rFonts w:ascii="Arial" w:hAnsi="Arial" w:cs="Arial"/>
          <w:sz w:val="20"/>
          <w:szCs w:val="20"/>
        </w:rPr>
        <w:t>*p&lt;0.05</w:t>
      </w:r>
    </w:p>
    <w:p w14:paraId="0A80D6F8" w14:textId="77777777" w:rsidR="00B259CD" w:rsidRDefault="00F27861">
      <w:r>
        <w:rPr>
          <w:rFonts w:ascii="Arial" w:hAnsi="Arial" w:cs="Arial"/>
          <w:sz w:val="20"/>
          <w:szCs w:val="20"/>
        </w:rPr>
        <w:t>‘EE’ stands for Ethnic Economy.  ‘SE’ stands for Self-Employed.</w:t>
      </w:r>
    </w:p>
    <w:sectPr w:rsidR="00B259CD" w:rsidSect="00A27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861"/>
    <w:rsid w:val="00B259CD"/>
    <w:rsid w:val="00F27861"/>
    <w:rsid w:val="00FB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4EF0"/>
  <w15:docId w15:val="{197EEF80-6C04-4409-BF22-D77BCF55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wmf"/><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wmf"/><Relationship Id="rId5" Type="http://schemas.openxmlformats.org/officeDocument/2006/relationships/image" Target="media/image2.png"/><Relationship Id="rId15" Type="http://schemas.openxmlformats.org/officeDocument/2006/relationships/image" Target="media/image1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Mahesh</dc:creator>
  <cp:lastModifiedBy>Somashekhar, Mahesh</cp:lastModifiedBy>
  <cp:revision>2</cp:revision>
  <dcterms:created xsi:type="dcterms:W3CDTF">2015-10-15T19:48:00Z</dcterms:created>
  <dcterms:modified xsi:type="dcterms:W3CDTF">2019-08-10T13:30:00Z</dcterms:modified>
</cp:coreProperties>
</file>